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F3" w:rsidRDefault="00B601F3">
      <w:r w:rsidRPr="00B601F3">
        <w:rPr>
          <w:noProof/>
          <w:lang w:eastAsia="en-AU"/>
        </w:rPr>
        <w:drawing>
          <wp:inline distT="0" distB="0" distL="0" distR="0">
            <wp:extent cx="1247177" cy="453606"/>
            <wp:effectExtent l="19050" t="19050" r="10123" b="22644"/>
            <wp:docPr id="2" name="Picture 1" descr="H:\GRV Logo_WHITE Bground.jpg"/>
            <wp:cNvGraphicFramePr/>
            <a:graphic xmlns:a="http://schemas.openxmlformats.org/drawingml/2006/main">
              <a:graphicData uri="http://schemas.openxmlformats.org/drawingml/2006/picture">
                <pic:pic xmlns:pic="http://schemas.openxmlformats.org/drawingml/2006/picture">
                  <pic:nvPicPr>
                    <pic:cNvPr id="1264" name="Picture 8" descr="H:\GRV Logo_WHITE Bground.jpg"/>
                    <pic:cNvPicPr>
                      <a:picLocks noChangeAspect="1" noChangeArrowheads="1"/>
                    </pic:cNvPicPr>
                  </pic:nvPicPr>
                  <pic:blipFill>
                    <a:blip r:embed="rId5" cstate="print"/>
                    <a:srcRect/>
                    <a:stretch>
                      <a:fillRect/>
                    </a:stretch>
                  </pic:blipFill>
                  <pic:spPr bwMode="auto">
                    <a:xfrm>
                      <a:off x="0" y="0"/>
                      <a:ext cx="1257059" cy="457200"/>
                    </a:xfrm>
                    <a:prstGeom prst="rect">
                      <a:avLst/>
                    </a:prstGeom>
                    <a:noFill/>
                    <a:ln w="3175">
                      <a:solidFill>
                        <a:srgbClr val="000000"/>
                      </a:solidFill>
                      <a:miter lim="800000"/>
                      <a:headEnd/>
                      <a:tailEnd/>
                    </a:ln>
                  </pic:spPr>
                </pic:pic>
              </a:graphicData>
            </a:graphic>
          </wp:inline>
        </w:drawing>
      </w:r>
    </w:p>
    <w:tbl>
      <w:tblPr>
        <w:tblW w:w="5000" w:type="pct"/>
        <w:tblBorders>
          <w:bottom w:val="single" w:sz="4" w:space="0" w:color="auto"/>
          <w:insideH w:val="single" w:sz="4" w:space="0" w:color="auto"/>
        </w:tblBorders>
        <w:tblLook w:val="0000"/>
      </w:tblPr>
      <w:tblGrid>
        <w:gridCol w:w="4586"/>
        <w:gridCol w:w="4656"/>
      </w:tblGrid>
      <w:tr w:rsidR="00B601F3" w:rsidRPr="00F07A61" w:rsidTr="00000F44">
        <w:trPr>
          <w:cantSplit/>
          <w:trHeight w:hRule="exact" w:val="454"/>
        </w:trPr>
        <w:tc>
          <w:tcPr>
            <w:tcW w:w="2481" w:type="pct"/>
            <w:vAlign w:val="center"/>
          </w:tcPr>
          <w:p w:rsidR="00B601F3" w:rsidRPr="00F07A61" w:rsidRDefault="00B601F3" w:rsidP="00B07555">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 xml:space="preserve">Position Title: </w:t>
            </w:r>
            <w:r w:rsidR="00B07555">
              <w:rPr>
                <w:rFonts w:ascii="Calibri" w:hAnsi="Calibri" w:cs="Calibri"/>
                <w:sz w:val="20"/>
                <w:szCs w:val="20"/>
              </w:rPr>
              <w:t>Finance</w:t>
            </w:r>
            <w:r w:rsidR="00396B90">
              <w:rPr>
                <w:rFonts w:ascii="Calibri" w:hAnsi="Calibri" w:cs="Calibri"/>
                <w:sz w:val="20"/>
                <w:szCs w:val="20"/>
              </w:rPr>
              <w:t xml:space="preserve"> Assistant</w:t>
            </w:r>
          </w:p>
        </w:tc>
        <w:tc>
          <w:tcPr>
            <w:tcW w:w="2519" w:type="pct"/>
            <w:vAlign w:val="center"/>
          </w:tcPr>
          <w:p w:rsidR="00B601F3" w:rsidRPr="00F07A61" w:rsidRDefault="00B601F3" w:rsidP="00000F44">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 xml:space="preserve">Department: </w:t>
            </w:r>
            <w:r w:rsidR="00396B90">
              <w:rPr>
                <w:rFonts w:ascii="Calibri" w:hAnsi="Calibri" w:cs="Calibri"/>
                <w:sz w:val="20"/>
                <w:szCs w:val="20"/>
              </w:rPr>
              <w:t>Corporate Services</w:t>
            </w:r>
          </w:p>
        </w:tc>
      </w:tr>
      <w:tr w:rsidR="00B601F3" w:rsidRPr="00F07A61" w:rsidTr="00000F44">
        <w:trPr>
          <w:cantSplit/>
          <w:trHeight w:hRule="exact" w:val="656"/>
        </w:trPr>
        <w:tc>
          <w:tcPr>
            <w:tcW w:w="2481" w:type="pct"/>
            <w:vAlign w:val="center"/>
          </w:tcPr>
          <w:p w:rsidR="00B601F3" w:rsidRDefault="005F287C" w:rsidP="00000F44">
            <w:pPr>
              <w:pStyle w:val="Heading1"/>
              <w:framePr w:w="0" w:hRule="auto" w:hSpace="0" w:wrap="auto" w:vAnchor="margin" w:hAnchor="text" w:xAlign="left" w:yAlign="inline"/>
              <w:jc w:val="left"/>
              <w:rPr>
                <w:rFonts w:ascii="Calibri" w:hAnsi="Calibri" w:cs="Calibri"/>
                <w:sz w:val="20"/>
                <w:szCs w:val="20"/>
              </w:rPr>
            </w:pPr>
            <w:r>
              <w:rPr>
                <w:rFonts w:ascii="Calibri" w:hAnsi="Calibri" w:cs="Calibri"/>
                <w:sz w:val="20"/>
                <w:szCs w:val="20"/>
              </w:rPr>
              <w:fldChar w:fldCharType="begin">
                <w:ffData>
                  <w:name w:val="Check3"/>
                  <w:enabled/>
                  <w:calcOnExit w:val="0"/>
                  <w:checkBox>
                    <w:sizeAuto/>
                    <w:default w:val="1"/>
                  </w:checkBox>
                </w:ffData>
              </w:fldChar>
            </w:r>
            <w:bookmarkStart w:id="0" w:name="Check3"/>
            <w:r w:rsidR="00AE34A4">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bookmarkEnd w:id="0"/>
            <w:r w:rsidR="00B601F3" w:rsidRPr="00F07A61">
              <w:rPr>
                <w:rFonts w:ascii="Calibri" w:hAnsi="Calibri" w:cs="Calibri"/>
                <w:sz w:val="20"/>
                <w:szCs w:val="20"/>
              </w:rPr>
              <w:t xml:space="preserve"> New Position </w:t>
            </w:r>
          </w:p>
          <w:p w:rsidR="00B601F3" w:rsidRPr="00F07A61" w:rsidRDefault="005F287C" w:rsidP="00000F44">
            <w:pPr>
              <w:pStyle w:val="Heading1"/>
              <w:framePr w:w="0" w:hRule="auto" w:hSpace="0" w:wrap="auto" w:vAnchor="margin" w:hAnchor="text" w:xAlign="left" w:yAlign="inline"/>
              <w:jc w:val="left"/>
              <w:rPr>
                <w:rFonts w:ascii="Calibri" w:hAnsi="Calibri" w:cs="Calibri"/>
                <w:sz w:val="20"/>
                <w:szCs w:val="20"/>
              </w:rPr>
            </w:pPr>
            <w:r>
              <w:rPr>
                <w:rFonts w:ascii="Calibri" w:hAnsi="Calibri" w:cs="Calibri"/>
                <w:sz w:val="20"/>
                <w:szCs w:val="20"/>
              </w:rPr>
              <w:fldChar w:fldCharType="begin">
                <w:ffData>
                  <w:name w:val="Check3"/>
                  <w:enabled/>
                  <w:calcOnExit w:val="0"/>
                  <w:checkBox>
                    <w:sizeAuto/>
                    <w:default w:val="0"/>
                  </w:checkBox>
                </w:ffData>
              </w:fldChar>
            </w:r>
            <w:r w:rsidR="00B601F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r w:rsidR="00B601F3">
              <w:rPr>
                <w:rFonts w:ascii="Calibri" w:hAnsi="Calibri" w:cs="Calibri"/>
                <w:sz w:val="20"/>
                <w:szCs w:val="20"/>
              </w:rPr>
              <w:t xml:space="preserve"> </w:t>
            </w:r>
            <w:r w:rsidR="00B601F3" w:rsidRPr="00F07A61">
              <w:rPr>
                <w:rFonts w:ascii="Calibri" w:hAnsi="Calibri" w:cs="Calibri"/>
                <w:sz w:val="20"/>
                <w:szCs w:val="20"/>
              </w:rPr>
              <w:t xml:space="preserve">Change to Existing Position </w:t>
            </w:r>
          </w:p>
        </w:tc>
        <w:tc>
          <w:tcPr>
            <w:tcW w:w="2519" w:type="pct"/>
            <w:vAlign w:val="center"/>
          </w:tcPr>
          <w:p w:rsidR="00B601F3" w:rsidRPr="00F07A61" w:rsidRDefault="00B601F3" w:rsidP="00B07555">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Date</w:t>
            </w:r>
            <w:r w:rsidRPr="00656EBC">
              <w:rPr>
                <w:rFonts w:ascii="Calibri" w:hAnsi="Calibri" w:cs="Calibri"/>
                <w:b w:val="0"/>
                <w:sz w:val="20"/>
                <w:szCs w:val="20"/>
              </w:rPr>
              <w:t xml:space="preserve">: </w:t>
            </w:r>
            <w:r w:rsidR="00B07555">
              <w:rPr>
                <w:rFonts w:ascii="Calibri" w:hAnsi="Calibri" w:cs="Calibri"/>
                <w:b w:val="0"/>
                <w:sz w:val="20"/>
                <w:szCs w:val="20"/>
              </w:rPr>
              <w:t>07.07</w:t>
            </w:r>
            <w:r w:rsidR="00396B90">
              <w:rPr>
                <w:rFonts w:ascii="Calibri" w:hAnsi="Calibri" w:cs="Calibri"/>
                <w:b w:val="0"/>
                <w:sz w:val="20"/>
                <w:szCs w:val="20"/>
              </w:rPr>
              <w:t>.2016</w:t>
            </w:r>
          </w:p>
        </w:tc>
      </w:tr>
      <w:tr w:rsidR="00B601F3" w:rsidRPr="00F07A61" w:rsidTr="00000F44">
        <w:trPr>
          <w:cantSplit/>
          <w:trHeight w:hRule="exact" w:val="454"/>
        </w:trPr>
        <w:tc>
          <w:tcPr>
            <w:tcW w:w="2481" w:type="pct"/>
            <w:vAlign w:val="center"/>
          </w:tcPr>
          <w:p w:rsidR="00B601F3" w:rsidRPr="00F07A61" w:rsidRDefault="00B601F3" w:rsidP="00000F44">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 xml:space="preserve">Reports </w:t>
            </w:r>
            <w:r w:rsidRPr="00FA3D23">
              <w:rPr>
                <w:rFonts w:ascii="Calibri" w:hAnsi="Calibri" w:cs="Calibri"/>
                <w:sz w:val="20"/>
                <w:szCs w:val="20"/>
              </w:rPr>
              <w:t xml:space="preserve">to </w:t>
            </w:r>
            <w:r w:rsidRPr="00FA3D23">
              <w:rPr>
                <w:rFonts w:ascii="Calibri" w:hAnsi="Calibri" w:cs="Calibri"/>
                <w:bCs w:val="0"/>
                <w:sz w:val="20"/>
                <w:szCs w:val="20"/>
              </w:rPr>
              <w:t>(position)</w:t>
            </w:r>
            <w:r w:rsidRPr="00FA3D23">
              <w:rPr>
                <w:rFonts w:ascii="Calibri" w:hAnsi="Calibri" w:cs="Calibri"/>
                <w:sz w:val="20"/>
                <w:szCs w:val="20"/>
              </w:rPr>
              <w:t>:</w:t>
            </w:r>
            <w:r>
              <w:rPr>
                <w:rFonts w:ascii="Calibri" w:hAnsi="Calibri" w:cs="Calibri"/>
                <w:sz w:val="20"/>
                <w:szCs w:val="20"/>
              </w:rPr>
              <w:t xml:space="preserve"> </w:t>
            </w:r>
            <w:r w:rsidR="00396B90">
              <w:rPr>
                <w:rFonts w:ascii="Calibri" w:hAnsi="Calibri" w:cs="Calibri"/>
                <w:sz w:val="20"/>
                <w:szCs w:val="20"/>
              </w:rPr>
              <w:t>Manager Finance Services</w:t>
            </w:r>
          </w:p>
        </w:tc>
        <w:tc>
          <w:tcPr>
            <w:tcW w:w="2519" w:type="pct"/>
            <w:vAlign w:val="center"/>
          </w:tcPr>
          <w:p w:rsidR="00B601F3" w:rsidRPr="00896144" w:rsidRDefault="00B07555" w:rsidP="00000F44">
            <w:pPr>
              <w:pStyle w:val="Heading1"/>
              <w:framePr w:w="0" w:hRule="auto" w:hSpace="0" w:wrap="auto" w:vAnchor="margin" w:hAnchor="text" w:xAlign="left" w:yAlign="inline"/>
              <w:jc w:val="left"/>
              <w:rPr>
                <w:rFonts w:ascii="Calibri" w:hAnsi="Calibri" w:cs="Calibri"/>
                <w:b w:val="0"/>
                <w:i/>
                <w:sz w:val="20"/>
                <w:szCs w:val="20"/>
              </w:rPr>
            </w:pPr>
            <w:r>
              <w:rPr>
                <w:rFonts w:ascii="Calibri" w:hAnsi="Calibri" w:cs="Calibri"/>
                <w:b w:val="0"/>
                <w:i/>
                <w:sz w:val="20"/>
                <w:szCs w:val="20"/>
              </w:rPr>
              <w:t>Martin Kranz</w:t>
            </w:r>
          </w:p>
        </w:tc>
      </w:tr>
      <w:tr w:rsidR="00B601F3" w:rsidRPr="00F07A61" w:rsidTr="00000F44">
        <w:trPr>
          <w:cantSplit/>
          <w:trHeight w:val="454"/>
        </w:trPr>
        <w:tc>
          <w:tcPr>
            <w:tcW w:w="2481" w:type="pct"/>
            <w:vAlign w:val="center"/>
          </w:tcPr>
          <w:p w:rsidR="00B601F3" w:rsidRPr="00F07A61" w:rsidRDefault="00B601F3" w:rsidP="00000F44">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 xml:space="preserve">Positions that report to this </w:t>
            </w:r>
            <w:r w:rsidRPr="00F07A61">
              <w:rPr>
                <w:rFonts w:ascii="Calibri" w:hAnsi="Calibri" w:cs="Calibri"/>
                <w:bCs w:val="0"/>
                <w:sz w:val="20"/>
                <w:szCs w:val="20"/>
              </w:rPr>
              <w:t>position</w:t>
            </w:r>
            <w:r w:rsidRPr="00F07A61">
              <w:rPr>
                <w:rFonts w:ascii="Calibri" w:hAnsi="Calibri" w:cs="Calibri"/>
                <w:sz w:val="20"/>
                <w:szCs w:val="20"/>
              </w:rPr>
              <w:t>:</w:t>
            </w:r>
            <w:r w:rsidR="00396B90">
              <w:rPr>
                <w:rFonts w:ascii="Calibri" w:hAnsi="Calibri" w:cs="Calibri"/>
                <w:sz w:val="20"/>
                <w:szCs w:val="20"/>
              </w:rPr>
              <w:t xml:space="preserve"> None</w:t>
            </w:r>
          </w:p>
        </w:tc>
        <w:tc>
          <w:tcPr>
            <w:tcW w:w="2519" w:type="pct"/>
            <w:vAlign w:val="center"/>
          </w:tcPr>
          <w:p w:rsidR="00B601F3" w:rsidRPr="00896144" w:rsidRDefault="00B601F3" w:rsidP="00000F44">
            <w:pPr>
              <w:rPr>
                <w:rFonts w:cstheme="minorHAnsi"/>
                <w:i/>
                <w:sz w:val="20"/>
                <w:szCs w:val="20"/>
              </w:rPr>
            </w:pPr>
          </w:p>
        </w:tc>
      </w:tr>
      <w:tr w:rsidR="00B601F3" w:rsidRPr="00F07A61" w:rsidTr="00000F44">
        <w:trPr>
          <w:cantSplit/>
          <w:trHeight w:hRule="exact" w:val="454"/>
        </w:trPr>
        <w:tc>
          <w:tcPr>
            <w:tcW w:w="2481" w:type="pct"/>
            <w:vAlign w:val="center"/>
          </w:tcPr>
          <w:p w:rsidR="00B601F3" w:rsidRPr="00F07A61" w:rsidRDefault="00B601F3" w:rsidP="00000F44">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Name of present incumbent</w:t>
            </w:r>
            <w:r w:rsidRPr="00F07A61">
              <w:rPr>
                <w:rFonts w:ascii="Calibri" w:hAnsi="Calibri" w:cs="Calibri"/>
                <w:b w:val="0"/>
                <w:bCs w:val="0"/>
                <w:sz w:val="20"/>
                <w:szCs w:val="20"/>
              </w:rPr>
              <w:t xml:space="preserve"> (if applicable)</w:t>
            </w:r>
            <w:r w:rsidRPr="00F07A61">
              <w:rPr>
                <w:rFonts w:ascii="Calibri" w:hAnsi="Calibri" w:cs="Calibri"/>
                <w:sz w:val="20"/>
                <w:szCs w:val="20"/>
              </w:rPr>
              <w:t>:</w:t>
            </w:r>
          </w:p>
        </w:tc>
        <w:tc>
          <w:tcPr>
            <w:tcW w:w="2519" w:type="pct"/>
            <w:vAlign w:val="center"/>
          </w:tcPr>
          <w:p w:rsidR="00B601F3" w:rsidRPr="00896144" w:rsidRDefault="00B601F3" w:rsidP="00000F44">
            <w:pPr>
              <w:rPr>
                <w:rFonts w:ascii="Calibri" w:hAnsi="Calibri" w:cs="Calibri"/>
                <w:i/>
                <w:sz w:val="20"/>
                <w:szCs w:val="20"/>
              </w:rPr>
            </w:pPr>
          </w:p>
        </w:tc>
      </w:tr>
    </w:tbl>
    <w:p w:rsidR="00B601F3" w:rsidRPr="00F07A61" w:rsidRDefault="00B601F3" w:rsidP="00B601F3">
      <w:pPr>
        <w:rPr>
          <w:rFonts w:ascii="Calibri" w:hAnsi="Calibri" w:cs="Calibri"/>
        </w:rPr>
      </w:pPr>
    </w:p>
    <w:tbl>
      <w:tblPr>
        <w:tblW w:w="5000" w:type="pct"/>
        <w:tblBorders>
          <w:top w:val="single" w:sz="6" w:space="0" w:color="auto"/>
          <w:left w:val="single" w:sz="6" w:space="0" w:color="auto"/>
          <w:bottom w:val="single" w:sz="4" w:space="0" w:color="auto"/>
          <w:right w:val="single" w:sz="6" w:space="0" w:color="auto"/>
          <w:insideH w:val="single" w:sz="4" w:space="0" w:color="auto"/>
        </w:tblBorders>
        <w:tblLook w:val="0000"/>
      </w:tblPr>
      <w:tblGrid>
        <w:gridCol w:w="9242"/>
      </w:tblGrid>
      <w:tr w:rsidR="00B601F3" w:rsidRPr="00656EBC" w:rsidTr="00000F44">
        <w:trPr>
          <w:trHeight w:val="217"/>
        </w:trPr>
        <w:tc>
          <w:tcPr>
            <w:tcW w:w="5000" w:type="pct"/>
            <w:tcBorders>
              <w:top w:val="single" w:sz="6" w:space="0" w:color="auto"/>
              <w:bottom w:val="single" w:sz="4" w:space="0" w:color="auto"/>
            </w:tcBorders>
            <w:shd w:val="clear" w:color="auto" w:fill="C6D9F1" w:themeFill="text2" w:themeFillTint="33"/>
          </w:tcPr>
          <w:p w:rsidR="00B601F3" w:rsidRPr="00CB25C1" w:rsidRDefault="00B601F3" w:rsidP="00000F44">
            <w:pPr>
              <w:rPr>
                <w:rFonts w:cs="Calibri"/>
                <w:i/>
                <w:sz w:val="18"/>
                <w:szCs w:val="18"/>
              </w:rPr>
            </w:pPr>
            <w:r w:rsidRPr="00CB25C1">
              <w:rPr>
                <w:rFonts w:cs="Calibri"/>
                <w:b/>
                <w:sz w:val="20"/>
                <w:szCs w:val="20"/>
              </w:rPr>
              <w:t>PRIMARY PURPOSE OF ROLE:</w:t>
            </w:r>
            <w:r>
              <w:rPr>
                <w:rFonts w:cs="Calibri"/>
                <w:i/>
                <w:sz w:val="18"/>
                <w:szCs w:val="18"/>
              </w:rPr>
              <w:t xml:space="preserve"> T</w:t>
            </w:r>
            <w:r w:rsidRPr="00CB25C1">
              <w:rPr>
                <w:rFonts w:cs="Calibri"/>
                <w:i/>
                <w:sz w:val="18"/>
                <w:szCs w:val="18"/>
              </w:rPr>
              <w:t>his</w:t>
            </w:r>
            <w:r>
              <w:rPr>
                <w:rFonts w:cs="Calibri"/>
                <w:i/>
                <w:sz w:val="18"/>
                <w:szCs w:val="18"/>
              </w:rPr>
              <w:t xml:space="preserve"> should be a summary or ‘vision’ for the position. Consider what aspects of the role, if they were removed, would cause the position to no longer add value to , or be required at GRV</w:t>
            </w:r>
          </w:p>
        </w:tc>
      </w:tr>
      <w:tr w:rsidR="00B601F3" w:rsidRPr="00656EBC" w:rsidTr="00000F44">
        <w:trPr>
          <w:trHeight w:val="1209"/>
        </w:trPr>
        <w:tc>
          <w:tcPr>
            <w:tcW w:w="5000" w:type="pct"/>
            <w:tcBorders>
              <w:bottom w:val="single" w:sz="4" w:space="0" w:color="auto"/>
            </w:tcBorders>
          </w:tcPr>
          <w:p w:rsidR="00B07555" w:rsidRPr="00946254" w:rsidRDefault="00B07555" w:rsidP="00B07555">
            <w:pPr>
              <w:rPr>
                <w:rFonts w:cs="Calibri"/>
                <w:sz w:val="20"/>
                <w:szCs w:val="20"/>
              </w:rPr>
            </w:pPr>
            <w:r>
              <w:rPr>
                <w:rFonts w:cs="Calibri"/>
                <w:sz w:val="20"/>
                <w:szCs w:val="20"/>
              </w:rPr>
              <w:t>The Finance Assistant’s role is to provide support to the finance department across a range of duties, to increase the effectiveness of the service level provided by the finance department to the wider organisation. The majority of</w:t>
            </w:r>
            <w:r w:rsidR="00800B6C">
              <w:rPr>
                <w:rFonts w:cs="Calibri"/>
                <w:sz w:val="20"/>
                <w:szCs w:val="20"/>
              </w:rPr>
              <w:t xml:space="preserve"> support will be to the payable and receivable functions</w:t>
            </w:r>
            <w:r>
              <w:rPr>
                <w:rFonts w:cs="Calibri"/>
                <w:sz w:val="20"/>
                <w:szCs w:val="20"/>
              </w:rPr>
              <w:t>. The Finance Assistant will also be required to provide coverage for the Payables Officer when on leave.</w:t>
            </w:r>
          </w:p>
        </w:tc>
      </w:tr>
      <w:tr w:rsidR="00B601F3" w:rsidRPr="00F07A61" w:rsidTr="00000F44">
        <w:trPr>
          <w:trHeight w:val="244"/>
        </w:trPr>
        <w:tc>
          <w:tcPr>
            <w:tcW w:w="5000" w:type="pct"/>
            <w:tcBorders>
              <w:top w:val="single" w:sz="4" w:space="0" w:color="auto"/>
              <w:bottom w:val="single" w:sz="4" w:space="0" w:color="auto"/>
            </w:tcBorders>
            <w:shd w:val="clear" w:color="auto" w:fill="C6D9F1"/>
            <w:vAlign w:val="center"/>
          </w:tcPr>
          <w:p w:rsidR="00B601F3" w:rsidRPr="00CB25C1" w:rsidRDefault="00B601F3" w:rsidP="00000F44">
            <w:pPr>
              <w:rPr>
                <w:rFonts w:cs="Calibri"/>
                <w:b/>
                <w:bCs/>
                <w:smallCaps/>
                <w:sz w:val="18"/>
                <w:szCs w:val="18"/>
              </w:rPr>
            </w:pPr>
            <w:r w:rsidRPr="00F07A61">
              <w:rPr>
                <w:rFonts w:ascii="Calibri" w:hAnsi="Calibri" w:cs="Calibri"/>
                <w:b/>
                <w:bCs/>
                <w:smallCaps/>
              </w:rPr>
              <w:t>Scope:</w:t>
            </w:r>
            <w:r w:rsidRPr="006E45A9">
              <w:rPr>
                <w:rFonts w:ascii="Arial" w:hAnsi="Arial" w:cs="Arial"/>
                <w:color w:val="000000"/>
                <w:lang w:val="en-US" w:eastAsia="en-AU"/>
              </w:rPr>
              <w:t xml:space="preserve"> </w:t>
            </w:r>
            <w:r w:rsidRPr="00CB25C1">
              <w:rPr>
                <w:rFonts w:cs="Arial"/>
                <w:i/>
                <w:color w:val="000000"/>
                <w:sz w:val="18"/>
                <w:szCs w:val="18"/>
                <w:lang w:val="en-US" w:eastAsia="en-AU"/>
              </w:rPr>
              <w:t>The scope</w:t>
            </w:r>
            <w:r>
              <w:rPr>
                <w:rFonts w:cs="Arial"/>
                <w:i/>
                <w:color w:val="000000"/>
                <w:sz w:val="18"/>
                <w:szCs w:val="18"/>
                <w:lang w:val="en-US" w:eastAsia="en-AU"/>
              </w:rPr>
              <w:t xml:space="preserve"> of work provides information about the larger picture of the position – how it relates to other positions in GRV and to the broader community outside of GRV.</w:t>
            </w:r>
          </w:p>
        </w:tc>
      </w:tr>
      <w:tr w:rsidR="00B601F3" w:rsidRPr="00656EBC" w:rsidTr="00000F44">
        <w:trPr>
          <w:trHeight w:val="2268"/>
        </w:trPr>
        <w:tc>
          <w:tcPr>
            <w:tcW w:w="5000" w:type="pct"/>
            <w:tcBorders>
              <w:top w:val="single" w:sz="4" w:space="0" w:color="auto"/>
              <w:bottom w:val="single" w:sz="4" w:space="0" w:color="auto"/>
            </w:tcBorders>
            <w:shd w:val="clear" w:color="auto" w:fill="auto"/>
          </w:tcPr>
          <w:p w:rsidR="00B601F3" w:rsidRPr="00656EBC" w:rsidRDefault="00B601F3" w:rsidP="00B601F3">
            <w:pPr>
              <w:spacing w:after="0" w:line="240" w:lineRule="auto"/>
              <w:rPr>
                <w:rFonts w:ascii="Calibri" w:hAnsi="Calibri" w:cs="Calibri"/>
                <w:b/>
                <w:bCs/>
                <w:smallCaps/>
                <w:sz w:val="18"/>
              </w:rPr>
            </w:pPr>
          </w:p>
          <w:p w:rsidR="00B601F3" w:rsidRDefault="00B601F3" w:rsidP="00B601F3">
            <w:pPr>
              <w:spacing w:after="0" w:line="240" w:lineRule="auto"/>
              <w:rPr>
                <w:rFonts w:ascii="Calibri" w:hAnsi="Calibri" w:cs="Calibri"/>
                <w:color w:val="000000"/>
                <w:sz w:val="20"/>
                <w:szCs w:val="20"/>
                <w:lang w:val="en-US" w:eastAsia="en-AU"/>
              </w:rPr>
            </w:pPr>
            <w:r>
              <w:rPr>
                <w:rFonts w:ascii="Calibri" w:hAnsi="Calibri" w:cs="Calibri"/>
                <w:color w:val="000000"/>
                <w:sz w:val="20"/>
                <w:szCs w:val="20"/>
                <w:lang w:val="en-US" w:eastAsia="en-AU"/>
              </w:rPr>
              <w:t xml:space="preserve">Greyhound Racing Victoria (GRV) is in the business of governing, operating and promoting greyhound racing of the highest integrity to wagering operators nationally and internationally and to Victorian clubs for the enjoyment of members, wagerers and on-course race goers. </w:t>
            </w:r>
          </w:p>
          <w:p w:rsidR="00B601F3" w:rsidRDefault="00B601F3" w:rsidP="00B601F3">
            <w:pPr>
              <w:spacing w:after="0" w:line="240" w:lineRule="auto"/>
              <w:rPr>
                <w:rFonts w:ascii="Calibri" w:hAnsi="Calibri" w:cs="Calibri"/>
                <w:color w:val="000000"/>
                <w:sz w:val="20"/>
                <w:szCs w:val="20"/>
                <w:lang w:val="en-US" w:eastAsia="en-AU"/>
              </w:rPr>
            </w:pPr>
          </w:p>
          <w:p w:rsidR="00B601F3" w:rsidRDefault="00B601F3" w:rsidP="00B601F3">
            <w:pPr>
              <w:spacing w:after="0" w:line="240" w:lineRule="auto"/>
              <w:rPr>
                <w:rFonts w:ascii="Calibri" w:hAnsi="Calibri" w:cs="Calibri"/>
                <w:sz w:val="20"/>
                <w:szCs w:val="20"/>
              </w:rPr>
            </w:pPr>
            <w:r>
              <w:rPr>
                <w:rFonts w:ascii="Calibri" w:hAnsi="Calibri" w:cs="Calibri"/>
                <w:color w:val="000000"/>
                <w:sz w:val="20"/>
                <w:szCs w:val="20"/>
              </w:rPr>
              <w:t>GRV is committed to attracting, selecting and retaining the best calibre of people to achieve the highest level of performance and behavioural standards required for each position.  This will ensure that the best standard of service is continually provided across the organisation</w:t>
            </w:r>
            <w:r>
              <w:rPr>
                <w:rFonts w:ascii="Calibri" w:hAnsi="Calibri" w:cs="Calibri"/>
                <w:sz w:val="20"/>
                <w:szCs w:val="20"/>
              </w:rPr>
              <w:t xml:space="preserve"> and that GRV will build on and maintain its excellent reputation and effective profitability.</w:t>
            </w:r>
          </w:p>
          <w:p w:rsidR="00B601F3" w:rsidRDefault="00B601F3" w:rsidP="00B601F3">
            <w:pPr>
              <w:spacing w:after="0" w:line="240" w:lineRule="auto"/>
              <w:rPr>
                <w:rFonts w:ascii="Calibri" w:hAnsi="Calibri" w:cs="Calibri"/>
                <w:sz w:val="20"/>
                <w:szCs w:val="20"/>
              </w:rPr>
            </w:pPr>
          </w:p>
          <w:p w:rsidR="00B601F3" w:rsidRDefault="00B601F3" w:rsidP="00B601F3">
            <w:pPr>
              <w:spacing w:after="0" w:line="240" w:lineRule="auto"/>
              <w:rPr>
                <w:rFonts w:ascii="Calibri" w:hAnsi="Calibri" w:cs="Calibri"/>
                <w:color w:val="000000"/>
                <w:sz w:val="20"/>
                <w:szCs w:val="20"/>
                <w:lang w:val="en-US" w:eastAsia="en-AU"/>
              </w:rPr>
            </w:pPr>
            <w:r>
              <w:rPr>
                <w:rFonts w:ascii="Calibri" w:hAnsi="Calibri" w:cs="Calibri"/>
                <w:color w:val="000000"/>
                <w:sz w:val="20"/>
                <w:szCs w:val="20"/>
                <w:lang w:val="en-US" w:eastAsia="en-AU"/>
              </w:rPr>
              <w:t>Our vision is for Greyhound Racing Victoria to become the world’s most respected greyhound racing body; widely regarded for the market position and reputation we have created for greyhound racing in Victoria.</w:t>
            </w:r>
          </w:p>
          <w:p w:rsidR="00B601F3" w:rsidRDefault="00B601F3" w:rsidP="00B601F3">
            <w:pPr>
              <w:spacing w:after="0" w:line="240" w:lineRule="auto"/>
              <w:ind w:right="272"/>
              <w:jc w:val="both"/>
              <w:rPr>
                <w:rFonts w:cs="Arial"/>
                <w:sz w:val="18"/>
                <w:szCs w:val="18"/>
              </w:rPr>
            </w:pPr>
          </w:p>
          <w:p w:rsidR="00B601F3" w:rsidRPr="009E25FA" w:rsidRDefault="00B601F3" w:rsidP="00000F44">
            <w:pPr>
              <w:spacing w:before="100" w:beforeAutospacing="1" w:after="100" w:afterAutospacing="1"/>
              <w:ind w:right="272"/>
              <w:jc w:val="both"/>
              <w:rPr>
                <w:rFonts w:cs="Arial"/>
                <w:sz w:val="18"/>
                <w:szCs w:val="18"/>
              </w:rPr>
            </w:pPr>
          </w:p>
        </w:tc>
      </w:tr>
      <w:tr w:rsidR="00B601F3" w:rsidRPr="00F07A61" w:rsidTr="00000F44">
        <w:trPr>
          <w:trHeight w:val="244"/>
        </w:trPr>
        <w:tc>
          <w:tcPr>
            <w:tcW w:w="5000" w:type="pct"/>
            <w:tcBorders>
              <w:top w:val="single" w:sz="4" w:space="0" w:color="auto"/>
              <w:bottom w:val="single" w:sz="4" w:space="0" w:color="auto"/>
            </w:tcBorders>
            <w:shd w:val="clear" w:color="auto" w:fill="C6D9F1"/>
            <w:vAlign w:val="center"/>
          </w:tcPr>
          <w:p w:rsidR="00B601F3" w:rsidRDefault="00B601F3" w:rsidP="00000F44">
            <w:pPr>
              <w:rPr>
                <w:rFonts w:ascii="Calibri" w:hAnsi="Calibri" w:cs="Calibri"/>
                <w:bCs/>
                <w:i/>
                <w:sz w:val="18"/>
                <w:szCs w:val="18"/>
              </w:rPr>
            </w:pPr>
            <w:r w:rsidRPr="00F07A61">
              <w:rPr>
                <w:rFonts w:ascii="Calibri" w:hAnsi="Calibri" w:cs="Calibri"/>
                <w:b/>
                <w:bCs/>
                <w:smallCaps/>
              </w:rPr>
              <w:t>Freedom to Act / Decision Making</w:t>
            </w:r>
            <w:r>
              <w:rPr>
                <w:rFonts w:ascii="Calibri" w:hAnsi="Calibri" w:cs="Calibri"/>
                <w:bCs/>
                <w:i/>
              </w:rPr>
              <w:t>:</w:t>
            </w:r>
            <w:r w:rsidRPr="00F07A61">
              <w:rPr>
                <w:rFonts w:ascii="Calibri" w:hAnsi="Calibri" w:cs="Calibri"/>
                <w:bCs/>
                <w:i/>
              </w:rPr>
              <w:t xml:space="preserve"> </w:t>
            </w:r>
            <w:r>
              <w:rPr>
                <w:rFonts w:ascii="Calibri" w:hAnsi="Calibri" w:cs="Calibri"/>
                <w:bCs/>
                <w:i/>
                <w:sz w:val="18"/>
                <w:szCs w:val="18"/>
              </w:rPr>
              <w:t>T</w:t>
            </w:r>
            <w:r w:rsidRPr="00974B72">
              <w:rPr>
                <w:rFonts w:ascii="Calibri" w:hAnsi="Calibri" w:cs="Calibri"/>
                <w:bCs/>
                <w:i/>
                <w:sz w:val="18"/>
                <w:szCs w:val="18"/>
              </w:rPr>
              <w:t>his should</w:t>
            </w:r>
            <w:r>
              <w:rPr>
                <w:rFonts w:ascii="Calibri" w:hAnsi="Calibri" w:cs="Calibri"/>
                <w:bCs/>
                <w:i/>
                <w:sz w:val="18"/>
                <w:szCs w:val="18"/>
              </w:rPr>
              <w:t xml:space="preserve"> outline the extent of the positions scope to act without need for further approval – e.g. </w:t>
            </w:r>
          </w:p>
          <w:p w:rsidR="00B601F3" w:rsidRPr="00974B72" w:rsidRDefault="00B601F3" w:rsidP="00B601F3">
            <w:pPr>
              <w:pStyle w:val="ListParagraph"/>
              <w:numPr>
                <w:ilvl w:val="0"/>
                <w:numId w:val="1"/>
              </w:numPr>
              <w:rPr>
                <w:rFonts w:ascii="Calibri" w:hAnsi="Calibri" w:cs="Calibri"/>
                <w:i/>
                <w:sz w:val="18"/>
                <w:szCs w:val="18"/>
              </w:rPr>
            </w:pPr>
            <w:r w:rsidRPr="00974B72">
              <w:rPr>
                <w:rFonts w:ascii="Calibri" w:hAnsi="Calibri" w:cs="Calibri"/>
                <w:i/>
                <w:sz w:val="18"/>
                <w:szCs w:val="18"/>
              </w:rPr>
              <w:t>Managing of employees within the company policy and legislative requirements</w:t>
            </w:r>
          </w:p>
          <w:p w:rsidR="00B601F3" w:rsidRPr="00974B72" w:rsidRDefault="00B601F3" w:rsidP="00B601F3">
            <w:pPr>
              <w:pStyle w:val="ListParagraph"/>
              <w:numPr>
                <w:ilvl w:val="0"/>
                <w:numId w:val="1"/>
              </w:numPr>
              <w:rPr>
                <w:rFonts w:ascii="Calibri" w:hAnsi="Calibri" w:cs="Calibri"/>
                <w:i/>
                <w:sz w:val="18"/>
                <w:szCs w:val="18"/>
              </w:rPr>
            </w:pPr>
            <w:r w:rsidRPr="00974B72">
              <w:rPr>
                <w:rFonts w:ascii="Calibri" w:hAnsi="Calibri" w:cs="Calibri"/>
                <w:i/>
                <w:sz w:val="18"/>
                <w:szCs w:val="18"/>
              </w:rPr>
              <w:t>Define specific objectives for the member of the team within company objectives</w:t>
            </w:r>
          </w:p>
          <w:p w:rsidR="00B601F3" w:rsidRPr="00974B72" w:rsidRDefault="00B601F3" w:rsidP="00B601F3">
            <w:pPr>
              <w:pStyle w:val="ListParagraph"/>
              <w:numPr>
                <w:ilvl w:val="0"/>
                <w:numId w:val="1"/>
              </w:numPr>
              <w:rPr>
                <w:rFonts w:ascii="Calibri" w:hAnsi="Calibri" w:cs="Calibri"/>
                <w:i/>
                <w:sz w:val="18"/>
                <w:szCs w:val="18"/>
              </w:rPr>
            </w:pPr>
            <w:r w:rsidRPr="00974B72">
              <w:rPr>
                <w:rFonts w:ascii="Calibri" w:hAnsi="Calibri" w:cs="Calibri"/>
                <w:i/>
                <w:sz w:val="18"/>
                <w:szCs w:val="18"/>
              </w:rPr>
              <w:t>Department budget expenditure up to $20K</w:t>
            </w:r>
          </w:p>
          <w:p w:rsidR="00B601F3" w:rsidRPr="00974B72" w:rsidRDefault="00B601F3" w:rsidP="00B601F3">
            <w:pPr>
              <w:pStyle w:val="ListParagraph"/>
              <w:numPr>
                <w:ilvl w:val="0"/>
                <w:numId w:val="1"/>
              </w:numPr>
              <w:rPr>
                <w:rFonts w:ascii="Calibri" w:hAnsi="Calibri" w:cs="Calibri"/>
                <w:sz w:val="18"/>
                <w:szCs w:val="18"/>
              </w:rPr>
            </w:pPr>
            <w:r w:rsidRPr="00974B72">
              <w:rPr>
                <w:rFonts w:ascii="Calibri" w:hAnsi="Calibri" w:cs="Calibri"/>
                <w:i/>
                <w:sz w:val="18"/>
                <w:szCs w:val="18"/>
              </w:rPr>
              <w:t>Authority to approve timesheets</w:t>
            </w:r>
          </w:p>
        </w:tc>
      </w:tr>
      <w:tr w:rsidR="00B601F3" w:rsidRPr="00656EBC" w:rsidTr="004B5B82">
        <w:trPr>
          <w:trHeight w:val="1349"/>
        </w:trPr>
        <w:tc>
          <w:tcPr>
            <w:tcW w:w="5000" w:type="pct"/>
            <w:tcBorders>
              <w:bottom w:val="single" w:sz="4" w:space="0" w:color="auto"/>
            </w:tcBorders>
          </w:tcPr>
          <w:p w:rsidR="00B601F3" w:rsidRDefault="00000F44" w:rsidP="00000F44">
            <w:pPr>
              <w:overflowPunct w:val="0"/>
              <w:autoSpaceDE w:val="0"/>
              <w:autoSpaceDN w:val="0"/>
              <w:adjustRightInd w:val="0"/>
              <w:textAlignment w:val="baseline"/>
              <w:rPr>
                <w:rFonts w:ascii="Calibri" w:hAnsi="Calibri" w:cs="Calibri"/>
                <w:sz w:val="20"/>
                <w:szCs w:val="20"/>
              </w:rPr>
            </w:pPr>
            <w:r>
              <w:rPr>
                <w:rFonts w:ascii="Calibri" w:hAnsi="Calibri" w:cs="Calibri"/>
                <w:sz w:val="20"/>
                <w:szCs w:val="20"/>
              </w:rPr>
              <w:t>Nil</w:t>
            </w:r>
          </w:p>
          <w:p w:rsidR="00472657" w:rsidRDefault="00472657" w:rsidP="00000F44">
            <w:pPr>
              <w:overflowPunct w:val="0"/>
              <w:autoSpaceDE w:val="0"/>
              <w:autoSpaceDN w:val="0"/>
              <w:adjustRightInd w:val="0"/>
              <w:textAlignment w:val="baseline"/>
              <w:rPr>
                <w:rFonts w:ascii="Calibri" w:hAnsi="Calibri" w:cs="Calibri"/>
                <w:sz w:val="20"/>
                <w:szCs w:val="20"/>
              </w:rPr>
            </w:pPr>
          </w:p>
          <w:p w:rsidR="00472657" w:rsidRPr="00472657" w:rsidRDefault="00472657" w:rsidP="00472657">
            <w:pPr>
              <w:rPr>
                <w:rFonts w:ascii="Calibri" w:hAnsi="Calibri" w:cs="Calibri"/>
                <w:sz w:val="20"/>
                <w:szCs w:val="20"/>
              </w:rPr>
            </w:pPr>
          </w:p>
        </w:tc>
      </w:tr>
    </w:tbl>
    <w:p w:rsidR="00B601F3" w:rsidRDefault="00B601F3" w:rsidP="00B601F3">
      <w:pPr>
        <w:rPr>
          <w:rFonts w:ascii="Calibri" w:hAnsi="Calibri" w:cs="Calibri"/>
        </w:rPr>
      </w:pPr>
    </w:p>
    <w:p w:rsidR="00544DDE" w:rsidRDefault="00544DDE" w:rsidP="00B601F3">
      <w:pPr>
        <w:rPr>
          <w:rFonts w:ascii="Calibri" w:hAnsi="Calibri" w:cs="Calibri"/>
        </w:rPr>
      </w:pPr>
    </w:p>
    <w:p w:rsidR="004B5B82" w:rsidRDefault="004B5B82" w:rsidP="00B601F3">
      <w:pPr>
        <w:rPr>
          <w:rFonts w:ascii="Calibri" w:hAnsi="Calibri" w:cs="Calibri"/>
        </w:rPr>
      </w:pPr>
    </w:p>
    <w:p w:rsidR="004B5B82" w:rsidRDefault="004B5B82" w:rsidP="00B601F3">
      <w:pPr>
        <w:rPr>
          <w:rFonts w:ascii="Calibri" w:hAnsi="Calibri" w:cs="Calibri"/>
        </w:rPr>
      </w:pPr>
    </w:p>
    <w:tbl>
      <w:tblPr>
        <w:tblW w:w="5119" w:type="pct"/>
        <w:tblBorders>
          <w:top w:val="single" w:sz="6" w:space="0" w:color="auto"/>
          <w:left w:val="single" w:sz="6" w:space="0" w:color="auto"/>
          <w:bottom w:val="single" w:sz="4" w:space="0" w:color="auto"/>
          <w:right w:val="single" w:sz="6" w:space="0" w:color="auto"/>
          <w:insideH w:val="single" w:sz="4" w:space="0" w:color="auto"/>
        </w:tblBorders>
        <w:tblLook w:val="0000"/>
      </w:tblPr>
      <w:tblGrid>
        <w:gridCol w:w="1800"/>
        <w:gridCol w:w="4432"/>
        <w:gridCol w:w="3230"/>
      </w:tblGrid>
      <w:tr w:rsidR="00045970" w:rsidRPr="00F07A61" w:rsidTr="00000F44">
        <w:trPr>
          <w:trHeight w:val="244"/>
        </w:trPr>
        <w:tc>
          <w:tcPr>
            <w:tcW w:w="951" w:type="pct"/>
            <w:tcBorders>
              <w:top w:val="single" w:sz="4" w:space="0" w:color="auto"/>
              <w:bottom w:val="single" w:sz="4" w:space="0" w:color="auto"/>
              <w:right w:val="single" w:sz="4" w:space="0" w:color="auto"/>
            </w:tcBorders>
            <w:shd w:val="clear" w:color="auto" w:fill="C6D9F1"/>
          </w:tcPr>
          <w:p w:rsidR="00045970" w:rsidRPr="00F07A61" w:rsidRDefault="00045970" w:rsidP="00000F44">
            <w:pPr>
              <w:pStyle w:val="CommentText"/>
              <w:rPr>
                <w:rFonts w:ascii="Calibri" w:hAnsi="Calibri" w:cs="Calibri"/>
                <w:b/>
                <w:bCs/>
                <w:smallCaps/>
                <w:sz w:val="22"/>
                <w:szCs w:val="22"/>
              </w:rPr>
            </w:pPr>
            <w:r w:rsidRPr="00F07A61">
              <w:rPr>
                <w:rFonts w:ascii="Calibri" w:hAnsi="Calibri" w:cs="Calibri"/>
                <w:b/>
                <w:bCs/>
                <w:smallCaps/>
                <w:sz w:val="22"/>
                <w:szCs w:val="22"/>
              </w:rPr>
              <w:lastRenderedPageBreak/>
              <w:t>Key Result Area</w:t>
            </w:r>
          </w:p>
        </w:tc>
        <w:tc>
          <w:tcPr>
            <w:tcW w:w="2342" w:type="pct"/>
            <w:tcBorders>
              <w:top w:val="single" w:sz="4" w:space="0" w:color="auto"/>
              <w:bottom w:val="single" w:sz="4" w:space="0" w:color="auto"/>
              <w:right w:val="single" w:sz="4" w:space="0" w:color="auto"/>
            </w:tcBorders>
            <w:shd w:val="clear" w:color="auto" w:fill="C6D9F1"/>
            <w:vAlign w:val="center"/>
          </w:tcPr>
          <w:p w:rsidR="00045970" w:rsidRPr="00F07A61" w:rsidRDefault="00045970" w:rsidP="00000F44">
            <w:pPr>
              <w:pStyle w:val="CommentText"/>
              <w:rPr>
                <w:rFonts w:ascii="Calibri" w:hAnsi="Calibri" w:cs="Calibri"/>
                <w:b/>
                <w:bCs/>
                <w:smallCaps/>
                <w:sz w:val="22"/>
                <w:szCs w:val="22"/>
              </w:rPr>
            </w:pPr>
            <w:r w:rsidRPr="00F07A61">
              <w:rPr>
                <w:rFonts w:ascii="Calibri" w:hAnsi="Calibri" w:cs="Calibri"/>
                <w:b/>
                <w:bCs/>
                <w:smallCaps/>
                <w:sz w:val="22"/>
                <w:szCs w:val="22"/>
              </w:rPr>
              <w:t>Accountability / Activity</w:t>
            </w:r>
          </w:p>
        </w:tc>
        <w:tc>
          <w:tcPr>
            <w:tcW w:w="1707" w:type="pct"/>
            <w:tcBorders>
              <w:top w:val="single" w:sz="4" w:space="0" w:color="auto"/>
              <w:left w:val="single" w:sz="4" w:space="0" w:color="auto"/>
              <w:bottom w:val="single" w:sz="4" w:space="0" w:color="auto"/>
            </w:tcBorders>
            <w:shd w:val="clear" w:color="auto" w:fill="C6D9F1"/>
            <w:vAlign w:val="center"/>
          </w:tcPr>
          <w:p w:rsidR="00045970" w:rsidRPr="00F07A61" w:rsidRDefault="00045970" w:rsidP="00000F44">
            <w:pPr>
              <w:pStyle w:val="CommentText"/>
              <w:rPr>
                <w:rFonts w:ascii="Calibri" w:hAnsi="Calibri" w:cs="Calibri"/>
                <w:b/>
                <w:bCs/>
                <w:smallCaps/>
                <w:sz w:val="22"/>
                <w:szCs w:val="22"/>
              </w:rPr>
            </w:pPr>
            <w:r w:rsidRPr="00F07A61">
              <w:rPr>
                <w:rFonts w:ascii="Calibri" w:hAnsi="Calibri" w:cs="Calibri"/>
                <w:b/>
                <w:bCs/>
                <w:smallCaps/>
                <w:sz w:val="22"/>
                <w:szCs w:val="22"/>
              </w:rPr>
              <w:t>Key Performance Indicator</w:t>
            </w:r>
          </w:p>
        </w:tc>
      </w:tr>
      <w:tr w:rsidR="00045970" w:rsidRPr="00787F2B" w:rsidTr="00000F44">
        <w:trPr>
          <w:trHeight w:val="284"/>
        </w:trPr>
        <w:tc>
          <w:tcPr>
            <w:tcW w:w="951" w:type="pct"/>
            <w:tcBorders>
              <w:top w:val="single" w:sz="4" w:space="0" w:color="auto"/>
              <w:bottom w:val="dotted" w:sz="4" w:space="0" w:color="auto"/>
              <w:right w:val="single" w:sz="4" w:space="0" w:color="auto"/>
            </w:tcBorders>
          </w:tcPr>
          <w:p w:rsidR="00045970" w:rsidRPr="00787F2B" w:rsidRDefault="00045970" w:rsidP="00000F44">
            <w:pPr>
              <w:pStyle w:val="Heading1"/>
              <w:framePr w:w="0" w:hRule="auto" w:hSpace="0" w:wrap="auto" w:vAnchor="margin" w:hAnchor="text" w:xAlign="left" w:yAlign="inline"/>
              <w:jc w:val="left"/>
              <w:rPr>
                <w:rFonts w:ascii="Calibri" w:hAnsi="Calibri" w:cs="Calibri"/>
                <w:bCs w:val="0"/>
                <w:i/>
                <w:sz w:val="20"/>
                <w:szCs w:val="20"/>
              </w:rPr>
            </w:pPr>
            <w:r w:rsidRPr="00787F2B">
              <w:rPr>
                <w:rFonts w:ascii="Calibri" w:hAnsi="Calibri" w:cs="Calibri"/>
                <w:bCs w:val="0"/>
                <w:i/>
                <w:sz w:val="20"/>
                <w:szCs w:val="20"/>
              </w:rPr>
              <w:t>Area of Focus</w:t>
            </w:r>
          </w:p>
        </w:tc>
        <w:tc>
          <w:tcPr>
            <w:tcW w:w="2342" w:type="pct"/>
            <w:tcBorders>
              <w:top w:val="single" w:sz="4" w:space="0" w:color="auto"/>
              <w:bottom w:val="dotted" w:sz="4" w:space="0" w:color="auto"/>
              <w:right w:val="single" w:sz="4" w:space="0" w:color="auto"/>
            </w:tcBorders>
          </w:tcPr>
          <w:p w:rsidR="00045970" w:rsidRPr="00787F2B" w:rsidRDefault="00045970" w:rsidP="00000F44">
            <w:pPr>
              <w:pStyle w:val="Heading1"/>
              <w:framePr w:w="0" w:hRule="auto" w:hSpace="0" w:wrap="auto" w:vAnchor="margin" w:hAnchor="text" w:xAlign="left" w:yAlign="inline"/>
              <w:jc w:val="left"/>
              <w:rPr>
                <w:rFonts w:ascii="Calibri" w:hAnsi="Calibri" w:cs="Calibri"/>
                <w:bCs w:val="0"/>
                <w:i/>
                <w:sz w:val="20"/>
                <w:szCs w:val="20"/>
              </w:rPr>
            </w:pPr>
            <w:r w:rsidRPr="00787F2B">
              <w:rPr>
                <w:rFonts w:ascii="Calibri" w:hAnsi="Calibri" w:cs="Calibri"/>
                <w:bCs w:val="0"/>
                <w:i/>
                <w:sz w:val="20"/>
                <w:szCs w:val="20"/>
              </w:rPr>
              <w:t>What activities are you responsible for</w:t>
            </w:r>
            <w:r>
              <w:rPr>
                <w:rFonts w:ascii="Calibri" w:hAnsi="Calibri" w:cs="Calibri"/>
                <w:bCs w:val="0"/>
                <w:i/>
                <w:sz w:val="20"/>
                <w:szCs w:val="20"/>
              </w:rPr>
              <w:t>?</w:t>
            </w:r>
            <w:r w:rsidRPr="00787F2B">
              <w:rPr>
                <w:rFonts w:ascii="Calibri" w:hAnsi="Calibri" w:cs="Calibri"/>
                <w:bCs w:val="0"/>
                <w:i/>
                <w:sz w:val="20"/>
                <w:szCs w:val="20"/>
              </w:rPr>
              <w:t xml:space="preserve"> </w:t>
            </w:r>
          </w:p>
        </w:tc>
        <w:tc>
          <w:tcPr>
            <w:tcW w:w="1707" w:type="pct"/>
            <w:tcBorders>
              <w:top w:val="single" w:sz="4" w:space="0" w:color="auto"/>
              <w:left w:val="single" w:sz="4" w:space="0" w:color="auto"/>
              <w:bottom w:val="dotted" w:sz="4" w:space="0" w:color="auto"/>
            </w:tcBorders>
          </w:tcPr>
          <w:p w:rsidR="00045970" w:rsidRPr="00787F2B" w:rsidRDefault="00045970" w:rsidP="00000F44">
            <w:pPr>
              <w:pStyle w:val="Heading1"/>
              <w:framePr w:w="0" w:hRule="auto" w:hSpace="0" w:wrap="auto" w:vAnchor="margin" w:hAnchor="text" w:xAlign="left" w:yAlign="inline"/>
              <w:jc w:val="left"/>
              <w:rPr>
                <w:rFonts w:ascii="Calibri" w:hAnsi="Calibri" w:cs="Calibri"/>
                <w:bCs w:val="0"/>
                <w:i/>
                <w:sz w:val="20"/>
                <w:szCs w:val="20"/>
              </w:rPr>
            </w:pPr>
            <w:r w:rsidRPr="00787F2B">
              <w:rPr>
                <w:rFonts w:ascii="Calibri" w:hAnsi="Calibri" w:cs="Calibri"/>
                <w:bCs w:val="0"/>
                <w:i/>
                <w:sz w:val="20"/>
                <w:szCs w:val="20"/>
              </w:rPr>
              <w:t xml:space="preserve">How will you </w:t>
            </w:r>
            <w:r>
              <w:rPr>
                <w:rFonts w:ascii="Calibri" w:hAnsi="Calibri" w:cs="Calibri"/>
                <w:bCs w:val="0"/>
                <w:i/>
                <w:sz w:val="20"/>
                <w:szCs w:val="20"/>
              </w:rPr>
              <w:t>know this has been achieved?</w:t>
            </w:r>
          </w:p>
        </w:tc>
      </w:tr>
      <w:tr w:rsidR="00045970" w:rsidRPr="00517D04" w:rsidTr="00000F44">
        <w:trPr>
          <w:trHeight w:val="567"/>
        </w:trPr>
        <w:tc>
          <w:tcPr>
            <w:tcW w:w="951" w:type="pct"/>
            <w:tcBorders>
              <w:top w:val="dotted" w:sz="4" w:space="0" w:color="auto"/>
              <w:bottom w:val="dotted" w:sz="4" w:space="0" w:color="auto"/>
              <w:right w:val="single" w:sz="4" w:space="0" w:color="auto"/>
            </w:tcBorders>
          </w:tcPr>
          <w:p w:rsidR="00045970" w:rsidRPr="00CA7489" w:rsidRDefault="00B07555" w:rsidP="00000F44">
            <w:pPr>
              <w:pStyle w:val="Heading1"/>
              <w:framePr w:w="0" w:hRule="auto" w:hSpace="0" w:wrap="auto" w:vAnchor="margin" w:hAnchor="text" w:xAlign="left" w:yAlign="inline"/>
              <w:jc w:val="left"/>
              <w:rPr>
                <w:rFonts w:asciiTheme="minorHAnsi" w:eastAsiaTheme="minorHAnsi" w:hAnsiTheme="minorHAnsi" w:cs="Calibri"/>
                <w:b w:val="0"/>
                <w:bCs w:val="0"/>
                <w:i/>
                <w:sz w:val="20"/>
                <w:szCs w:val="20"/>
              </w:rPr>
            </w:pPr>
            <w:r w:rsidRPr="00CA7489">
              <w:rPr>
                <w:rFonts w:asciiTheme="minorHAnsi" w:eastAsiaTheme="minorHAnsi" w:hAnsiTheme="minorHAnsi" w:cs="Calibri"/>
                <w:b w:val="0"/>
                <w:bCs w:val="0"/>
                <w:i/>
                <w:sz w:val="20"/>
                <w:szCs w:val="20"/>
              </w:rPr>
              <w:t>Payables</w:t>
            </w:r>
          </w:p>
        </w:tc>
        <w:tc>
          <w:tcPr>
            <w:tcW w:w="2342" w:type="pct"/>
            <w:tcBorders>
              <w:top w:val="dotted" w:sz="4" w:space="0" w:color="auto"/>
              <w:bottom w:val="dotted" w:sz="4" w:space="0" w:color="auto"/>
              <w:right w:val="single" w:sz="4" w:space="0" w:color="auto"/>
            </w:tcBorders>
          </w:tcPr>
          <w:p w:rsidR="00000F44" w:rsidRDefault="00000F44" w:rsidP="00000F44">
            <w:pPr>
              <w:pStyle w:val="Heading1"/>
              <w:framePr w:w="0" w:hRule="auto" w:hSpace="0" w:wrap="auto" w:vAnchor="margin" w:hAnchor="text" w:xAlign="left" w:yAlign="inline"/>
              <w:numPr>
                <w:ilvl w:val="0"/>
                <w:numId w:val="7"/>
              </w:numPr>
              <w:jc w:val="left"/>
              <w:rPr>
                <w:rFonts w:asciiTheme="minorHAnsi" w:eastAsiaTheme="minorHAnsi" w:hAnsiTheme="minorHAnsi" w:cs="Calibri"/>
                <w:b w:val="0"/>
                <w:bCs w:val="0"/>
                <w:sz w:val="20"/>
                <w:szCs w:val="20"/>
              </w:rPr>
            </w:pPr>
            <w:r w:rsidRPr="00000F44">
              <w:rPr>
                <w:rFonts w:asciiTheme="minorHAnsi" w:eastAsiaTheme="minorHAnsi" w:hAnsiTheme="minorHAnsi" w:cs="Calibri"/>
                <w:b w:val="0"/>
                <w:bCs w:val="0"/>
                <w:sz w:val="20"/>
                <w:szCs w:val="20"/>
              </w:rPr>
              <w:t>Process and pay invoices on a weekly basis, including collating, entering invoices and c</w:t>
            </w:r>
            <w:r w:rsidR="00B07555">
              <w:rPr>
                <w:rFonts w:asciiTheme="minorHAnsi" w:eastAsiaTheme="minorHAnsi" w:hAnsiTheme="minorHAnsi" w:cs="Calibri"/>
                <w:b w:val="0"/>
                <w:bCs w:val="0"/>
                <w:sz w:val="20"/>
                <w:szCs w:val="20"/>
              </w:rPr>
              <w:t>reating EFT and cheque payments.</w:t>
            </w:r>
          </w:p>
          <w:p w:rsidR="00B07555" w:rsidRDefault="00B07555" w:rsidP="00B07555">
            <w:pPr>
              <w:pStyle w:val="ListParagraph"/>
              <w:numPr>
                <w:ilvl w:val="0"/>
                <w:numId w:val="7"/>
              </w:numPr>
              <w:rPr>
                <w:rFonts w:asciiTheme="minorHAnsi" w:eastAsiaTheme="minorHAnsi" w:hAnsiTheme="minorHAnsi"/>
                <w:sz w:val="20"/>
              </w:rPr>
            </w:pPr>
            <w:r w:rsidRPr="00B07555">
              <w:rPr>
                <w:rFonts w:asciiTheme="minorHAnsi" w:eastAsiaTheme="minorHAnsi" w:hAnsiTheme="minorHAnsi"/>
                <w:sz w:val="20"/>
              </w:rPr>
              <w:t>Foster a strong relationship with the procurement team</w:t>
            </w:r>
            <w:r>
              <w:rPr>
                <w:rFonts w:asciiTheme="minorHAnsi" w:eastAsiaTheme="minorHAnsi" w:hAnsiTheme="minorHAnsi"/>
                <w:sz w:val="20"/>
              </w:rPr>
              <w:t>, including working together to ensure payments are processed in a timely manner.</w:t>
            </w:r>
          </w:p>
          <w:p w:rsidR="00B07555" w:rsidRDefault="00B07555" w:rsidP="00B07555">
            <w:pPr>
              <w:pStyle w:val="ListParagraph"/>
              <w:numPr>
                <w:ilvl w:val="0"/>
                <w:numId w:val="7"/>
              </w:numPr>
              <w:rPr>
                <w:rFonts w:asciiTheme="minorHAnsi" w:eastAsiaTheme="minorHAnsi" w:hAnsiTheme="minorHAnsi"/>
                <w:sz w:val="20"/>
              </w:rPr>
            </w:pPr>
            <w:r>
              <w:rPr>
                <w:rFonts w:asciiTheme="minorHAnsi" w:eastAsiaTheme="minorHAnsi" w:hAnsiTheme="minorHAnsi"/>
                <w:sz w:val="20"/>
              </w:rPr>
              <w:t>Monitor Great Plains for unapplied payments, including following up on tax invoices for prepayments.</w:t>
            </w:r>
          </w:p>
          <w:p w:rsidR="00045970" w:rsidRPr="00517D04" w:rsidRDefault="00CA7489" w:rsidP="00544DDE">
            <w:pPr>
              <w:pStyle w:val="ListParagraph"/>
              <w:numPr>
                <w:ilvl w:val="0"/>
                <w:numId w:val="7"/>
              </w:numPr>
              <w:rPr>
                <w:rFonts w:asciiTheme="minorHAnsi" w:hAnsiTheme="minorHAnsi"/>
                <w:color w:val="B2A1C7" w:themeColor="accent4" w:themeTint="99"/>
                <w:sz w:val="20"/>
                <w:szCs w:val="20"/>
              </w:rPr>
            </w:pPr>
            <w:r>
              <w:rPr>
                <w:rFonts w:asciiTheme="minorHAnsi" w:eastAsiaTheme="minorHAnsi" w:hAnsiTheme="minorHAnsi"/>
                <w:sz w:val="20"/>
              </w:rPr>
              <w:t>Prepare the supplier bank changes file on a monthly basis for review by the Manager Finance Services</w:t>
            </w:r>
          </w:p>
        </w:tc>
        <w:tc>
          <w:tcPr>
            <w:tcW w:w="1707" w:type="pct"/>
            <w:tcBorders>
              <w:top w:val="dotted" w:sz="4" w:space="0" w:color="auto"/>
              <w:left w:val="single" w:sz="4" w:space="0" w:color="auto"/>
              <w:bottom w:val="dotted" w:sz="4" w:space="0" w:color="auto"/>
            </w:tcBorders>
          </w:tcPr>
          <w:p w:rsidR="00045970" w:rsidRPr="00544DDE" w:rsidRDefault="00000F44" w:rsidP="00544DDE">
            <w:pPr>
              <w:pStyle w:val="ListParagraph"/>
              <w:numPr>
                <w:ilvl w:val="0"/>
                <w:numId w:val="7"/>
              </w:numPr>
              <w:overflowPunct w:val="0"/>
              <w:autoSpaceDE w:val="0"/>
              <w:autoSpaceDN w:val="0"/>
              <w:adjustRightInd w:val="0"/>
              <w:textAlignment w:val="baseline"/>
              <w:rPr>
                <w:rFonts w:asciiTheme="minorHAnsi" w:hAnsiTheme="minorHAnsi"/>
                <w:sz w:val="20"/>
                <w:szCs w:val="20"/>
              </w:rPr>
            </w:pPr>
            <w:r w:rsidRPr="00544DDE">
              <w:rPr>
                <w:rFonts w:asciiTheme="minorHAnsi" w:eastAsiaTheme="minorHAnsi" w:hAnsiTheme="minorHAnsi" w:cs="Calibri"/>
                <w:sz w:val="20"/>
                <w:szCs w:val="20"/>
              </w:rPr>
              <w:t>Payment batches processed on time and with accuracy</w:t>
            </w:r>
          </w:p>
          <w:p w:rsidR="00CA7489" w:rsidRPr="00544DDE" w:rsidRDefault="00CA7489" w:rsidP="00000F44">
            <w:pPr>
              <w:pStyle w:val="ListParagraph"/>
              <w:numPr>
                <w:ilvl w:val="0"/>
                <w:numId w:val="6"/>
              </w:numPr>
              <w:overflowPunct w:val="0"/>
              <w:autoSpaceDE w:val="0"/>
              <w:autoSpaceDN w:val="0"/>
              <w:adjustRightInd w:val="0"/>
              <w:textAlignment w:val="baseline"/>
              <w:rPr>
                <w:rFonts w:asciiTheme="minorHAnsi" w:hAnsiTheme="minorHAnsi"/>
                <w:sz w:val="20"/>
                <w:szCs w:val="20"/>
              </w:rPr>
            </w:pPr>
            <w:r w:rsidRPr="00544DDE">
              <w:rPr>
                <w:rFonts w:asciiTheme="minorHAnsi" w:eastAsiaTheme="minorHAnsi" w:hAnsiTheme="minorHAnsi" w:cs="Calibri"/>
                <w:sz w:val="20"/>
                <w:szCs w:val="20"/>
              </w:rPr>
              <w:t>Average creditor days is less than 30 days</w:t>
            </w:r>
          </w:p>
          <w:p w:rsidR="00000F44" w:rsidRPr="00000F44" w:rsidRDefault="00000F44" w:rsidP="00544DDE">
            <w:pPr>
              <w:pStyle w:val="ListParagraph"/>
              <w:overflowPunct w:val="0"/>
              <w:autoSpaceDE w:val="0"/>
              <w:autoSpaceDN w:val="0"/>
              <w:adjustRightInd w:val="0"/>
              <w:textAlignment w:val="baseline"/>
              <w:rPr>
                <w:color w:val="B2A1C7" w:themeColor="accent4" w:themeTint="99"/>
                <w:sz w:val="20"/>
                <w:szCs w:val="20"/>
              </w:rPr>
            </w:pPr>
          </w:p>
        </w:tc>
      </w:tr>
      <w:tr w:rsidR="00045970" w:rsidRPr="00517D04" w:rsidTr="00000F44">
        <w:trPr>
          <w:trHeight w:val="567"/>
        </w:trPr>
        <w:tc>
          <w:tcPr>
            <w:tcW w:w="951" w:type="pct"/>
            <w:tcBorders>
              <w:top w:val="dotted" w:sz="4" w:space="0" w:color="auto"/>
              <w:bottom w:val="dotted" w:sz="4" w:space="0" w:color="auto"/>
              <w:right w:val="single" w:sz="4" w:space="0" w:color="auto"/>
            </w:tcBorders>
          </w:tcPr>
          <w:p w:rsidR="00045970" w:rsidRPr="00CA7489" w:rsidRDefault="00CA7489" w:rsidP="00000F44">
            <w:pPr>
              <w:pStyle w:val="Heading1"/>
              <w:framePr w:w="0" w:hRule="auto" w:hSpace="0" w:wrap="auto" w:vAnchor="margin" w:hAnchor="text" w:xAlign="left" w:yAlign="inline"/>
              <w:jc w:val="left"/>
              <w:rPr>
                <w:rFonts w:asciiTheme="minorHAnsi" w:hAnsiTheme="minorHAnsi"/>
                <w:b w:val="0"/>
                <w:i/>
                <w:sz w:val="20"/>
                <w:szCs w:val="20"/>
              </w:rPr>
            </w:pPr>
            <w:r w:rsidRPr="00CA7489">
              <w:rPr>
                <w:rFonts w:asciiTheme="minorHAnsi" w:hAnsiTheme="minorHAnsi"/>
                <w:b w:val="0"/>
                <w:i/>
                <w:sz w:val="20"/>
                <w:szCs w:val="20"/>
              </w:rPr>
              <w:t>Banking &amp; Collections</w:t>
            </w:r>
          </w:p>
        </w:tc>
        <w:tc>
          <w:tcPr>
            <w:tcW w:w="2342" w:type="pct"/>
            <w:tcBorders>
              <w:top w:val="dotted" w:sz="4" w:space="0" w:color="auto"/>
              <w:bottom w:val="dotted" w:sz="4" w:space="0" w:color="auto"/>
              <w:right w:val="single" w:sz="4" w:space="0" w:color="auto"/>
            </w:tcBorders>
          </w:tcPr>
          <w:p w:rsidR="00352077" w:rsidRPr="00CA7489" w:rsidRDefault="00CA7489" w:rsidP="00CA7489">
            <w:pPr>
              <w:pStyle w:val="ListParagraph"/>
              <w:numPr>
                <w:ilvl w:val="0"/>
                <w:numId w:val="8"/>
              </w:numPr>
              <w:ind w:right="431"/>
              <w:rPr>
                <w:rFonts w:asciiTheme="minorHAnsi" w:hAnsiTheme="minorHAnsi"/>
                <w:sz w:val="20"/>
                <w:szCs w:val="20"/>
              </w:rPr>
            </w:pPr>
            <w:r w:rsidRPr="00CA7489">
              <w:rPr>
                <w:rFonts w:asciiTheme="minorHAnsi" w:hAnsiTheme="minorHAnsi"/>
                <w:sz w:val="20"/>
                <w:szCs w:val="20"/>
              </w:rPr>
              <w:t>Enter</w:t>
            </w:r>
            <w:r w:rsidR="00352077" w:rsidRPr="00CA7489">
              <w:rPr>
                <w:rFonts w:asciiTheme="minorHAnsi" w:hAnsiTheme="minorHAnsi"/>
                <w:sz w:val="20"/>
                <w:szCs w:val="20"/>
              </w:rPr>
              <w:t xml:space="preserve"> bank transactions into Great Plains</w:t>
            </w:r>
            <w:r w:rsidRPr="00CA7489">
              <w:rPr>
                <w:rFonts w:asciiTheme="minorHAnsi" w:hAnsiTheme="minorHAnsi"/>
                <w:sz w:val="20"/>
                <w:szCs w:val="20"/>
              </w:rPr>
              <w:t>, including debtor receipts</w:t>
            </w:r>
          </w:p>
          <w:p w:rsidR="00CA7489" w:rsidRDefault="00CA7489" w:rsidP="00CA7489">
            <w:pPr>
              <w:pStyle w:val="ListParagraph"/>
              <w:numPr>
                <w:ilvl w:val="0"/>
                <w:numId w:val="8"/>
              </w:numPr>
              <w:ind w:right="431"/>
              <w:rPr>
                <w:rFonts w:asciiTheme="minorHAnsi" w:hAnsiTheme="minorHAnsi"/>
                <w:sz w:val="20"/>
                <w:szCs w:val="20"/>
              </w:rPr>
            </w:pPr>
            <w:r w:rsidRPr="00CA7489">
              <w:rPr>
                <w:rFonts w:asciiTheme="minorHAnsi" w:hAnsiTheme="minorHAnsi"/>
                <w:sz w:val="20"/>
                <w:szCs w:val="20"/>
              </w:rPr>
              <w:t>Prepare and distribute debtor invoices and be responsible for all debtor collections</w:t>
            </w:r>
          </w:p>
          <w:p w:rsidR="00CA7489" w:rsidRPr="00CA7489" w:rsidRDefault="00CA7489" w:rsidP="00CA7489">
            <w:pPr>
              <w:pStyle w:val="ListParagraph"/>
              <w:numPr>
                <w:ilvl w:val="0"/>
                <w:numId w:val="8"/>
              </w:numPr>
              <w:ind w:right="431"/>
              <w:rPr>
                <w:rFonts w:ascii="Calibri" w:hAnsi="Calibri"/>
                <w:sz w:val="20"/>
                <w:szCs w:val="20"/>
              </w:rPr>
            </w:pPr>
            <w:r w:rsidRPr="00CA7489">
              <w:rPr>
                <w:rFonts w:ascii="Calibri" w:hAnsi="Calibri"/>
                <w:sz w:val="20"/>
                <w:szCs w:val="20"/>
              </w:rPr>
              <w:t>Invoice all wagering service providers and keep accurate records of collection</w:t>
            </w:r>
            <w:r>
              <w:rPr>
                <w:rFonts w:ascii="Calibri" w:hAnsi="Calibri"/>
                <w:sz w:val="20"/>
                <w:szCs w:val="20"/>
              </w:rPr>
              <w:t>, and</w:t>
            </w:r>
            <w:r w:rsidRPr="00CA7489">
              <w:rPr>
                <w:rFonts w:ascii="Calibri" w:hAnsi="Calibri"/>
                <w:sz w:val="20"/>
                <w:szCs w:val="20"/>
              </w:rPr>
              <w:t xml:space="preserve"> assi</w:t>
            </w:r>
            <w:r>
              <w:rPr>
                <w:rFonts w:ascii="Calibri" w:hAnsi="Calibri"/>
                <w:sz w:val="20"/>
                <w:szCs w:val="20"/>
              </w:rPr>
              <w:t>st with servicing of questions and</w:t>
            </w:r>
            <w:r w:rsidRPr="00CA7489">
              <w:rPr>
                <w:rFonts w:ascii="Calibri" w:hAnsi="Calibri"/>
                <w:sz w:val="20"/>
                <w:szCs w:val="20"/>
              </w:rPr>
              <w:t xml:space="preserve"> policy updates</w:t>
            </w:r>
          </w:p>
          <w:p w:rsidR="00CA7489" w:rsidRPr="00CA7489" w:rsidRDefault="00CA7489" w:rsidP="00CA7489">
            <w:pPr>
              <w:pStyle w:val="ListParagraph"/>
              <w:numPr>
                <w:ilvl w:val="0"/>
                <w:numId w:val="8"/>
              </w:numPr>
              <w:ind w:right="431"/>
              <w:rPr>
                <w:rFonts w:ascii="Calibri" w:hAnsi="Calibri"/>
                <w:sz w:val="20"/>
                <w:szCs w:val="20"/>
              </w:rPr>
            </w:pPr>
            <w:r w:rsidRPr="00CA7489">
              <w:rPr>
                <w:rFonts w:ascii="Calibri" w:hAnsi="Calibri"/>
                <w:sz w:val="20"/>
                <w:szCs w:val="20"/>
              </w:rPr>
              <w:t>Make term deposit investments in accordance with GRV policy and upon approval of  Chief Operating Officer and Manager Finance Services</w:t>
            </w:r>
          </w:p>
          <w:p w:rsidR="00352077" w:rsidRPr="00F20A38" w:rsidRDefault="00CA7489" w:rsidP="00544DDE">
            <w:pPr>
              <w:pStyle w:val="ListParagraph"/>
              <w:numPr>
                <w:ilvl w:val="0"/>
                <w:numId w:val="8"/>
              </w:numPr>
              <w:ind w:right="431"/>
              <w:rPr>
                <w:rFonts w:asciiTheme="minorHAnsi" w:hAnsiTheme="minorHAnsi"/>
              </w:rPr>
            </w:pPr>
            <w:r w:rsidRPr="00500A02">
              <w:rPr>
                <w:rFonts w:ascii="Calibri" w:hAnsi="Calibri"/>
                <w:sz w:val="20"/>
                <w:szCs w:val="20"/>
              </w:rPr>
              <w:t>Follow up any dishonoured cheques</w:t>
            </w:r>
          </w:p>
        </w:tc>
        <w:tc>
          <w:tcPr>
            <w:tcW w:w="1707" w:type="pct"/>
            <w:tcBorders>
              <w:top w:val="dotted" w:sz="4" w:space="0" w:color="auto"/>
              <w:left w:val="single" w:sz="4" w:space="0" w:color="auto"/>
              <w:bottom w:val="dotted" w:sz="4" w:space="0" w:color="auto"/>
            </w:tcBorders>
          </w:tcPr>
          <w:p w:rsidR="00045970" w:rsidRDefault="00352077" w:rsidP="00352077">
            <w:pPr>
              <w:pStyle w:val="ListParagraph"/>
              <w:numPr>
                <w:ilvl w:val="0"/>
                <w:numId w:val="8"/>
              </w:numPr>
              <w:overflowPunct w:val="0"/>
              <w:autoSpaceDE w:val="0"/>
              <w:autoSpaceDN w:val="0"/>
              <w:adjustRightInd w:val="0"/>
              <w:textAlignment w:val="baseline"/>
              <w:rPr>
                <w:rFonts w:asciiTheme="minorHAnsi" w:hAnsiTheme="minorHAnsi"/>
                <w:sz w:val="20"/>
                <w:szCs w:val="20"/>
              </w:rPr>
            </w:pPr>
            <w:r w:rsidRPr="00F20A38">
              <w:rPr>
                <w:rFonts w:asciiTheme="minorHAnsi" w:hAnsiTheme="minorHAnsi"/>
                <w:sz w:val="20"/>
                <w:szCs w:val="20"/>
              </w:rPr>
              <w:t>Bank reconciliation to balance</w:t>
            </w:r>
            <w:r w:rsidR="00CA7489">
              <w:rPr>
                <w:rFonts w:asciiTheme="minorHAnsi" w:hAnsiTheme="minorHAnsi"/>
                <w:sz w:val="20"/>
                <w:szCs w:val="20"/>
              </w:rPr>
              <w:t xml:space="preserve"> and completed by 3</w:t>
            </w:r>
            <w:r w:rsidR="00CA7489" w:rsidRPr="00CA7489">
              <w:rPr>
                <w:rFonts w:asciiTheme="minorHAnsi" w:hAnsiTheme="minorHAnsi"/>
                <w:sz w:val="20"/>
                <w:szCs w:val="20"/>
                <w:vertAlign w:val="superscript"/>
              </w:rPr>
              <w:t>rd</w:t>
            </w:r>
            <w:r w:rsidR="00CA7489">
              <w:rPr>
                <w:rFonts w:asciiTheme="minorHAnsi" w:hAnsiTheme="minorHAnsi"/>
                <w:sz w:val="20"/>
                <w:szCs w:val="20"/>
              </w:rPr>
              <w:t xml:space="preserve"> of each month</w:t>
            </w:r>
          </w:p>
          <w:p w:rsidR="00CA7489" w:rsidRPr="00CA7489" w:rsidRDefault="00CA7489" w:rsidP="00CA7489">
            <w:pPr>
              <w:pStyle w:val="ListParagraph"/>
              <w:numPr>
                <w:ilvl w:val="0"/>
                <w:numId w:val="8"/>
              </w:numPr>
              <w:overflowPunct w:val="0"/>
              <w:autoSpaceDE w:val="0"/>
              <w:autoSpaceDN w:val="0"/>
              <w:adjustRightInd w:val="0"/>
              <w:textAlignment w:val="baseline"/>
              <w:rPr>
                <w:rFonts w:ascii="Calibri" w:hAnsi="Calibri"/>
                <w:sz w:val="20"/>
                <w:szCs w:val="20"/>
              </w:rPr>
            </w:pPr>
            <w:r w:rsidRPr="00CA7489">
              <w:rPr>
                <w:rFonts w:ascii="Calibri" w:hAnsi="Calibri"/>
                <w:sz w:val="20"/>
                <w:szCs w:val="20"/>
              </w:rPr>
              <w:t>Provide tax invoice for wagering service providers within 3 business days of receiving return</w:t>
            </w:r>
          </w:p>
          <w:p w:rsidR="00CA7489" w:rsidRPr="00F20A38" w:rsidRDefault="00CA7489" w:rsidP="00544DDE">
            <w:pPr>
              <w:pStyle w:val="ListParagraph"/>
              <w:overflowPunct w:val="0"/>
              <w:autoSpaceDE w:val="0"/>
              <w:autoSpaceDN w:val="0"/>
              <w:adjustRightInd w:val="0"/>
              <w:textAlignment w:val="baseline"/>
              <w:rPr>
                <w:rFonts w:asciiTheme="minorHAnsi" w:hAnsiTheme="minorHAnsi"/>
                <w:sz w:val="20"/>
                <w:szCs w:val="20"/>
              </w:rPr>
            </w:pPr>
          </w:p>
        </w:tc>
      </w:tr>
      <w:tr w:rsidR="00CA7489" w:rsidRPr="00517D04" w:rsidTr="00352077">
        <w:trPr>
          <w:trHeight w:val="567"/>
        </w:trPr>
        <w:tc>
          <w:tcPr>
            <w:tcW w:w="951" w:type="pct"/>
            <w:tcBorders>
              <w:top w:val="dotted" w:sz="4" w:space="0" w:color="auto"/>
              <w:bottom w:val="dotted" w:sz="4" w:space="0" w:color="auto"/>
              <w:right w:val="single" w:sz="4" w:space="0" w:color="auto"/>
            </w:tcBorders>
          </w:tcPr>
          <w:p w:rsidR="00CA7489" w:rsidRPr="00CA7489" w:rsidRDefault="00CA7489" w:rsidP="00352077">
            <w:pPr>
              <w:pStyle w:val="Heading1"/>
              <w:framePr w:w="0" w:hRule="auto" w:hSpace="0" w:wrap="auto" w:vAnchor="margin" w:hAnchor="text" w:xAlign="left" w:yAlign="inline"/>
              <w:jc w:val="left"/>
              <w:rPr>
                <w:rFonts w:asciiTheme="minorHAnsi" w:hAnsiTheme="minorHAnsi"/>
                <w:b w:val="0"/>
                <w:i/>
                <w:sz w:val="20"/>
                <w:szCs w:val="20"/>
              </w:rPr>
            </w:pPr>
            <w:r w:rsidRPr="00CA7489">
              <w:rPr>
                <w:rFonts w:asciiTheme="minorHAnsi" w:hAnsiTheme="minorHAnsi"/>
                <w:b w:val="0"/>
                <w:i/>
                <w:sz w:val="20"/>
                <w:szCs w:val="20"/>
              </w:rPr>
              <w:t>FastTrack</w:t>
            </w:r>
          </w:p>
        </w:tc>
        <w:tc>
          <w:tcPr>
            <w:tcW w:w="2342" w:type="pct"/>
            <w:tcBorders>
              <w:top w:val="dotted" w:sz="4" w:space="0" w:color="auto"/>
              <w:bottom w:val="dotted" w:sz="4" w:space="0" w:color="auto"/>
              <w:right w:val="single" w:sz="4" w:space="0" w:color="auto"/>
            </w:tcBorders>
          </w:tcPr>
          <w:p w:rsidR="00CA7489" w:rsidRDefault="00CA7489" w:rsidP="00352077">
            <w:pPr>
              <w:pStyle w:val="ListParagraph"/>
              <w:numPr>
                <w:ilvl w:val="0"/>
                <w:numId w:val="8"/>
              </w:numPr>
              <w:rPr>
                <w:rFonts w:asciiTheme="minorHAnsi" w:hAnsiTheme="minorHAnsi"/>
                <w:sz w:val="20"/>
                <w:szCs w:val="20"/>
              </w:rPr>
            </w:pPr>
            <w:r>
              <w:rPr>
                <w:rFonts w:asciiTheme="minorHAnsi" w:hAnsiTheme="minorHAnsi"/>
                <w:sz w:val="20"/>
                <w:szCs w:val="20"/>
              </w:rPr>
              <w:t>Monitor and follow up on unreconciled incoming and outgoing entries.</w:t>
            </w:r>
          </w:p>
          <w:p w:rsidR="00CA7489" w:rsidRPr="00F20A38" w:rsidRDefault="00CA7489" w:rsidP="00544DDE">
            <w:pPr>
              <w:pStyle w:val="ListParagraph"/>
              <w:numPr>
                <w:ilvl w:val="0"/>
                <w:numId w:val="8"/>
              </w:numPr>
              <w:rPr>
                <w:rFonts w:asciiTheme="minorHAnsi" w:hAnsiTheme="minorHAnsi"/>
                <w:sz w:val="20"/>
                <w:szCs w:val="20"/>
              </w:rPr>
            </w:pPr>
            <w:r>
              <w:rPr>
                <w:rFonts w:asciiTheme="minorHAnsi" w:hAnsiTheme="minorHAnsi"/>
                <w:sz w:val="20"/>
                <w:szCs w:val="20"/>
              </w:rPr>
              <w:t>Cancel fines as advised by the Integrity department.</w:t>
            </w:r>
          </w:p>
        </w:tc>
        <w:tc>
          <w:tcPr>
            <w:tcW w:w="1707" w:type="pct"/>
            <w:tcBorders>
              <w:top w:val="dotted" w:sz="4" w:space="0" w:color="auto"/>
              <w:left w:val="single" w:sz="4" w:space="0" w:color="auto"/>
              <w:bottom w:val="dotted" w:sz="4" w:space="0" w:color="auto"/>
            </w:tcBorders>
          </w:tcPr>
          <w:p w:rsidR="00CA7489" w:rsidRPr="00F20A38" w:rsidRDefault="00544DDE" w:rsidP="00352077">
            <w:pPr>
              <w:pStyle w:val="ListParagraph"/>
              <w:numPr>
                <w:ilvl w:val="0"/>
                <w:numId w:val="8"/>
              </w:numPr>
              <w:overflowPunct w:val="0"/>
              <w:autoSpaceDE w:val="0"/>
              <w:autoSpaceDN w:val="0"/>
              <w:adjustRightInd w:val="0"/>
              <w:textAlignment w:val="baseline"/>
              <w:rPr>
                <w:rFonts w:asciiTheme="minorHAnsi" w:hAnsiTheme="minorHAnsi"/>
                <w:sz w:val="20"/>
                <w:szCs w:val="20"/>
              </w:rPr>
            </w:pPr>
            <w:r>
              <w:rPr>
                <w:rFonts w:asciiTheme="minorHAnsi" w:hAnsiTheme="minorHAnsi"/>
                <w:sz w:val="20"/>
                <w:szCs w:val="20"/>
              </w:rPr>
              <w:t>Requests for cancellation of fines are actioned within 2 days of receipt</w:t>
            </w:r>
          </w:p>
        </w:tc>
      </w:tr>
      <w:tr w:rsidR="00352077" w:rsidRPr="00517D04" w:rsidTr="00352077">
        <w:trPr>
          <w:trHeight w:val="567"/>
        </w:trPr>
        <w:tc>
          <w:tcPr>
            <w:tcW w:w="951" w:type="pct"/>
            <w:tcBorders>
              <w:top w:val="dotted" w:sz="4" w:space="0" w:color="auto"/>
              <w:bottom w:val="dotted" w:sz="4" w:space="0" w:color="auto"/>
              <w:right w:val="single" w:sz="4" w:space="0" w:color="auto"/>
            </w:tcBorders>
          </w:tcPr>
          <w:p w:rsidR="00352077" w:rsidRPr="00CA7489" w:rsidRDefault="00352077" w:rsidP="00352077">
            <w:pPr>
              <w:pStyle w:val="Heading1"/>
              <w:framePr w:w="0" w:hRule="auto" w:hSpace="0" w:wrap="auto" w:vAnchor="margin" w:hAnchor="text" w:xAlign="left" w:yAlign="inline"/>
              <w:jc w:val="left"/>
              <w:rPr>
                <w:rFonts w:asciiTheme="minorHAnsi" w:hAnsiTheme="minorHAnsi"/>
                <w:b w:val="0"/>
                <w:i/>
                <w:sz w:val="20"/>
                <w:szCs w:val="20"/>
              </w:rPr>
            </w:pPr>
            <w:r w:rsidRPr="00CA7489">
              <w:rPr>
                <w:rFonts w:asciiTheme="minorHAnsi" w:hAnsiTheme="minorHAnsi"/>
                <w:b w:val="0"/>
                <w:i/>
                <w:sz w:val="20"/>
                <w:szCs w:val="20"/>
              </w:rPr>
              <w:t>Annual Leave Coverage</w:t>
            </w:r>
          </w:p>
        </w:tc>
        <w:tc>
          <w:tcPr>
            <w:tcW w:w="2342" w:type="pct"/>
            <w:tcBorders>
              <w:top w:val="dotted" w:sz="4" w:space="0" w:color="auto"/>
              <w:bottom w:val="dotted" w:sz="4" w:space="0" w:color="auto"/>
              <w:right w:val="single" w:sz="4" w:space="0" w:color="auto"/>
            </w:tcBorders>
          </w:tcPr>
          <w:p w:rsidR="00352077" w:rsidRPr="00544DDE" w:rsidRDefault="00352077" w:rsidP="00544DDE">
            <w:pPr>
              <w:pStyle w:val="ListParagraph"/>
              <w:numPr>
                <w:ilvl w:val="0"/>
                <w:numId w:val="8"/>
              </w:numPr>
              <w:rPr>
                <w:rFonts w:asciiTheme="minorHAnsi" w:hAnsiTheme="minorHAnsi"/>
                <w:sz w:val="20"/>
                <w:szCs w:val="20"/>
              </w:rPr>
            </w:pPr>
            <w:r w:rsidRPr="00544DDE">
              <w:rPr>
                <w:rFonts w:asciiTheme="minorHAnsi" w:hAnsiTheme="minorHAnsi"/>
                <w:sz w:val="20"/>
                <w:szCs w:val="20"/>
              </w:rPr>
              <w:t>Fines – Administration &amp; collection</w:t>
            </w:r>
          </w:p>
          <w:p w:rsidR="00352077" w:rsidRPr="00544DDE" w:rsidRDefault="00352077" w:rsidP="00544DDE">
            <w:pPr>
              <w:pStyle w:val="ListParagraph"/>
              <w:numPr>
                <w:ilvl w:val="0"/>
                <w:numId w:val="8"/>
              </w:numPr>
              <w:rPr>
                <w:rFonts w:asciiTheme="minorHAnsi" w:hAnsiTheme="minorHAnsi"/>
                <w:sz w:val="20"/>
                <w:szCs w:val="20"/>
              </w:rPr>
            </w:pPr>
            <w:r w:rsidRPr="00544DDE">
              <w:rPr>
                <w:rFonts w:asciiTheme="minorHAnsi" w:hAnsiTheme="minorHAnsi"/>
                <w:sz w:val="20"/>
                <w:szCs w:val="20"/>
              </w:rPr>
              <w:t>Club returns entries</w:t>
            </w:r>
          </w:p>
          <w:p w:rsidR="00352077" w:rsidRPr="00544DDE" w:rsidRDefault="00352077" w:rsidP="00544DDE">
            <w:pPr>
              <w:pStyle w:val="ListParagraph"/>
              <w:numPr>
                <w:ilvl w:val="0"/>
                <w:numId w:val="8"/>
              </w:numPr>
              <w:rPr>
                <w:rFonts w:asciiTheme="minorHAnsi" w:hAnsiTheme="minorHAnsi"/>
                <w:sz w:val="20"/>
                <w:szCs w:val="20"/>
              </w:rPr>
            </w:pPr>
            <w:r w:rsidRPr="00544DDE">
              <w:rPr>
                <w:rFonts w:asciiTheme="minorHAnsi" w:hAnsiTheme="minorHAnsi"/>
                <w:sz w:val="20"/>
                <w:szCs w:val="20"/>
              </w:rPr>
              <w:t>Stakemoney Payments</w:t>
            </w:r>
          </w:p>
          <w:p w:rsidR="00352077" w:rsidRPr="00544DDE" w:rsidRDefault="00F20A38" w:rsidP="00544DDE">
            <w:pPr>
              <w:pStyle w:val="ListParagraph"/>
              <w:numPr>
                <w:ilvl w:val="0"/>
                <w:numId w:val="8"/>
              </w:numPr>
              <w:rPr>
                <w:rFonts w:asciiTheme="minorHAnsi" w:hAnsiTheme="minorHAnsi"/>
                <w:sz w:val="20"/>
                <w:szCs w:val="20"/>
              </w:rPr>
            </w:pPr>
            <w:r w:rsidRPr="00544DDE">
              <w:rPr>
                <w:rFonts w:asciiTheme="minorHAnsi" w:hAnsiTheme="minorHAnsi"/>
                <w:sz w:val="20"/>
                <w:szCs w:val="20"/>
              </w:rPr>
              <w:t>Telephone enquiries</w:t>
            </w:r>
          </w:p>
        </w:tc>
        <w:tc>
          <w:tcPr>
            <w:tcW w:w="1707" w:type="pct"/>
            <w:tcBorders>
              <w:top w:val="dotted" w:sz="4" w:space="0" w:color="auto"/>
              <w:left w:val="single" w:sz="4" w:space="0" w:color="auto"/>
              <w:bottom w:val="dotted" w:sz="4" w:space="0" w:color="auto"/>
            </w:tcBorders>
          </w:tcPr>
          <w:p w:rsidR="00F20A38" w:rsidRPr="00F20A38" w:rsidRDefault="00544DDE" w:rsidP="00544DDE">
            <w:pPr>
              <w:pStyle w:val="ListParagraph"/>
              <w:numPr>
                <w:ilvl w:val="0"/>
                <w:numId w:val="8"/>
              </w:numPr>
              <w:overflowPunct w:val="0"/>
              <w:autoSpaceDE w:val="0"/>
              <w:autoSpaceDN w:val="0"/>
              <w:adjustRightInd w:val="0"/>
              <w:textAlignment w:val="baseline"/>
              <w:rPr>
                <w:rFonts w:asciiTheme="minorHAnsi" w:hAnsiTheme="minorHAnsi"/>
                <w:sz w:val="20"/>
                <w:szCs w:val="20"/>
              </w:rPr>
            </w:pPr>
            <w:r>
              <w:rPr>
                <w:rFonts w:asciiTheme="minorHAnsi" w:hAnsiTheme="minorHAnsi"/>
                <w:sz w:val="20"/>
                <w:szCs w:val="20"/>
              </w:rPr>
              <w:t>As per Payments Officer</w:t>
            </w:r>
          </w:p>
        </w:tc>
      </w:tr>
    </w:tbl>
    <w:p w:rsidR="004B5B82" w:rsidRPr="00F07A61" w:rsidRDefault="004B5B82" w:rsidP="00045970">
      <w:pPr>
        <w:rPr>
          <w:rFonts w:ascii="Calibri" w:hAnsi="Calibri" w:cs="Calibri"/>
        </w:rPr>
      </w:pPr>
    </w:p>
    <w:tbl>
      <w:tblPr>
        <w:tblW w:w="5097" w:type="pct"/>
        <w:tblBorders>
          <w:top w:val="single" w:sz="6" w:space="0" w:color="auto"/>
          <w:left w:val="single" w:sz="6" w:space="0" w:color="auto"/>
          <w:bottom w:val="single" w:sz="4" w:space="0" w:color="auto"/>
          <w:right w:val="single" w:sz="6" w:space="0" w:color="auto"/>
          <w:insideH w:val="single" w:sz="4" w:space="0" w:color="auto"/>
        </w:tblBorders>
        <w:tblLook w:val="0000"/>
      </w:tblPr>
      <w:tblGrid>
        <w:gridCol w:w="4620"/>
        <w:gridCol w:w="4801"/>
      </w:tblGrid>
      <w:tr w:rsidR="00045970" w:rsidRPr="00F07A61" w:rsidTr="00000F44">
        <w:tc>
          <w:tcPr>
            <w:tcW w:w="5000" w:type="pct"/>
            <w:gridSpan w:val="2"/>
            <w:tcBorders>
              <w:top w:val="single" w:sz="4" w:space="0" w:color="auto"/>
              <w:bottom w:val="single" w:sz="4" w:space="0" w:color="auto"/>
            </w:tcBorders>
            <w:shd w:val="clear" w:color="auto" w:fill="C6D9F1"/>
          </w:tcPr>
          <w:p w:rsidR="00045970" w:rsidRPr="00F07A61" w:rsidRDefault="00045970" w:rsidP="00000F44">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Key Business Contacts</w:t>
            </w:r>
          </w:p>
        </w:tc>
      </w:tr>
      <w:tr w:rsidR="00045970" w:rsidRPr="00F07A61" w:rsidTr="00000F44">
        <w:tc>
          <w:tcPr>
            <w:tcW w:w="2452" w:type="pct"/>
            <w:tcBorders>
              <w:top w:val="single" w:sz="4" w:space="0" w:color="auto"/>
              <w:bottom w:val="single" w:sz="6" w:space="0" w:color="auto"/>
              <w:right w:val="single" w:sz="6" w:space="0" w:color="auto"/>
            </w:tcBorders>
            <w:shd w:val="clear" w:color="auto" w:fill="DBE5F1"/>
          </w:tcPr>
          <w:p w:rsidR="00045970" w:rsidRPr="00F07A61" w:rsidRDefault="00045970" w:rsidP="00000F44">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External</w:t>
            </w:r>
          </w:p>
        </w:tc>
        <w:tc>
          <w:tcPr>
            <w:tcW w:w="2548" w:type="pct"/>
            <w:tcBorders>
              <w:top w:val="single" w:sz="4" w:space="0" w:color="auto"/>
              <w:left w:val="single" w:sz="6" w:space="0" w:color="auto"/>
              <w:bottom w:val="single" w:sz="6" w:space="0" w:color="auto"/>
            </w:tcBorders>
            <w:shd w:val="clear" w:color="auto" w:fill="DBE5F1"/>
          </w:tcPr>
          <w:p w:rsidR="00045970" w:rsidRPr="00F07A61" w:rsidRDefault="00045970" w:rsidP="00000F44">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Internal</w:t>
            </w:r>
          </w:p>
        </w:tc>
      </w:tr>
      <w:tr w:rsidR="00045970" w:rsidRPr="00F07A61" w:rsidTr="00544DDE">
        <w:trPr>
          <w:trHeight w:val="227"/>
        </w:trPr>
        <w:tc>
          <w:tcPr>
            <w:tcW w:w="2452" w:type="pct"/>
            <w:tcBorders>
              <w:top w:val="single" w:sz="6" w:space="0" w:color="auto"/>
              <w:bottom w:val="single" w:sz="6" w:space="0" w:color="auto"/>
              <w:right w:val="single" w:sz="6" w:space="0" w:color="auto"/>
            </w:tcBorders>
          </w:tcPr>
          <w:p w:rsidR="00045970" w:rsidRPr="00517D04" w:rsidRDefault="00000F44" w:rsidP="00000F44">
            <w:pPr>
              <w:rPr>
                <w:rFonts w:cs="Calibri"/>
                <w:sz w:val="20"/>
                <w:szCs w:val="20"/>
              </w:rPr>
            </w:pPr>
            <w:r>
              <w:rPr>
                <w:rFonts w:cs="Calibri"/>
                <w:sz w:val="20"/>
                <w:szCs w:val="20"/>
              </w:rPr>
              <w:t>Industry Participants</w:t>
            </w:r>
          </w:p>
        </w:tc>
        <w:tc>
          <w:tcPr>
            <w:tcW w:w="2548" w:type="pct"/>
            <w:tcBorders>
              <w:top w:val="single" w:sz="6" w:space="0" w:color="auto"/>
              <w:left w:val="single" w:sz="6" w:space="0" w:color="auto"/>
              <w:bottom w:val="single" w:sz="6" w:space="0" w:color="auto"/>
            </w:tcBorders>
          </w:tcPr>
          <w:p w:rsidR="00045970" w:rsidRPr="00517D04" w:rsidRDefault="00544DDE" w:rsidP="00000F44">
            <w:pPr>
              <w:rPr>
                <w:rFonts w:cs="Calibri"/>
                <w:sz w:val="20"/>
                <w:szCs w:val="20"/>
              </w:rPr>
            </w:pPr>
            <w:r>
              <w:rPr>
                <w:rFonts w:cs="Calibri"/>
                <w:sz w:val="20"/>
                <w:szCs w:val="20"/>
              </w:rPr>
              <w:t>Payments</w:t>
            </w:r>
            <w:r w:rsidR="00000F44">
              <w:rPr>
                <w:rFonts w:cs="Calibri"/>
                <w:sz w:val="20"/>
                <w:szCs w:val="20"/>
              </w:rPr>
              <w:t xml:space="preserve"> </w:t>
            </w:r>
            <w:r w:rsidR="00F20A38">
              <w:rPr>
                <w:rFonts w:cs="Calibri"/>
                <w:sz w:val="20"/>
                <w:szCs w:val="20"/>
              </w:rPr>
              <w:t>Officer</w:t>
            </w:r>
          </w:p>
        </w:tc>
      </w:tr>
      <w:tr w:rsidR="00045970" w:rsidRPr="00F07A61" w:rsidTr="00544DDE">
        <w:trPr>
          <w:trHeight w:val="227"/>
        </w:trPr>
        <w:tc>
          <w:tcPr>
            <w:tcW w:w="2452" w:type="pct"/>
            <w:tcBorders>
              <w:top w:val="single" w:sz="6" w:space="0" w:color="auto"/>
              <w:bottom w:val="single" w:sz="6" w:space="0" w:color="auto"/>
              <w:right w:val="single" w:sz="6" w:space="0" w:color="auto"/>
            </w:tcBorders>
          </w:tcPr>
          <w:p w:rsidR="00045970" w:rsidRPr="00517D04" w:rsidRDefault="00000F44" w:rsidP="00000F44">
            <w:pPr>
              <w:rPr>
                <w:rFonts w:cs="Calibri"/>
                <w:sz w:val="20"/>
                <w:szCs w:val="20"/>
              </w:rPr>
            </w:pPr>
            <w:r>
              <w:rPr>
                <w:rFonts w:cs="Calibri"/>
                <w:sz w:val="20"/>
                <w:szCs w:val="20"/>
              </w:rPr>
              <w:t xml:space="preserve">Suppliers </w:t>
            </w:r>
          </w:p>
        </w:tc>
        <w:tc>
          <w:tcPr>
            <w:tcW w:w="2548" w:type="pct"/>
            <w:tcBorders>
              <w:top w:val="single" w:sz="6" w:space="0" w:color="auto"/>
              <w:left w:val="single" w:sz="6" w:space="0" w:color="auto"/>
              <w:bottom w:val="single" w:sz="6" w:space="0" w:color="auto"/>
            </w:tcBorders>
          </w:tcPr>
          <w:p w:rsidR="00045970" w:rsidRPr="00517D04" w:rsidRDefault="00000F44" w:rsidP="00000F44">
            <w:pPr>
              <w:rPr>
                <w:rFonts w:cs="Calibri"/>
                <w:sz w:val="20"/>
                <w:szCs w:val="20"/>
              </w:rPr>
            </w:pPr>
            <w:r>
              <w:rPr>
                <w:rFonts w:cs="Calibri"/>
                <w:sz w:val="20"/>
                <w:szCs w:val="20"/>
              </w:rPr>
              <w:t>Manager Finance Services</w:t>
            </w:r>
          </w:p>
        </w:tc>
      </w:tr>
      <w:tr w:rsidR="00045970" w:rsidRPr="00F07A61" w:rsidTr="00544DDE">
        <w:trPr>
          <w:trHeight w:val="227"/>
        </w:trPr>
        <w:tc>
          <w:tcPr>
            <w:tcW w:w="2452" w:type="pct"/>
            <w:tcBorders>
              <w:top w:val="single" w:sz="6" w:space="0" w:color="auto"/>
              <w:bottom w:val="single" w:sz="6" w:space="0" w:color="auto"/>
              <w:right w:val="single" w:sz="6" w:space="0" w:color="auto"/>
            </w:tcBorders>
          </w:tcPr>
          <w:p w:rsidR="00045970" w:rsidRPr="00517D04" w:rsidRDefault="00045970" w:rsidP="00000F44">
            <w:pPr>
              <w:rPr>
                <w:rFonts w:cs="Calibri"/>
                <w:sz w:val="20"/>
                <w:szCs w:val="20"/>
              </w:rPr>
            </w:pPr>
          </w:p>
        </w:tc>
        <w:tc>
          <w:tcPr>
            <w:tcW w:w="2548" w:type="pct"/>
            <w:tcBorders>
              <w:top w:val="single" w:sz="6" w:space="0" w:color="auto"/>
              <w:left w:val="single" w:sz="6" w:space="0" w:color="auto"/>
              <w:bottom w:val="single" w:sz="6" w:space="0" w:color="auto"/>
            </w:tcBorders>
          </w:tcPr>
          <w:p w:rsidR="00045970" w:rsidRPr="00517D04" w:rsidRDefault="00F20A38" w:rsidP="00544DDE">
            <w:pPr>
              <w:rPr>
                <w:rFonts w:cs="Calibri"/>
                <w:sz w:val="20"/>
                <w:szCs w:val="20"/>
              </w:rPr>
            </w:pPr>
            <w:r>
              <w:rPr>
                <w:rFonts w:cs="Calibri"/>
                <w:sz w:val="20"/>
                <w:szCs w:val="20"/>
              </w:rPr>
              <w:t xml:space="preserve">Procurement </w:t>
            </w:r>
            <w:r w:rsidR="00544DDE">
              <w:rPr>
                <w:rFonts w:cs="Calibri"/>
                <w:sz w:val="20"/>
                <w:szCs w:val="20"/>
              </w:rPr>
              <w:t>d</w:t>
            </w:r>
            <w:r>
              <w:rPr>
                <w:rFonts w:cs="Calibri"/>
                <w:sz w:val="20"/>
                <w:szCs w:val="20"/>
              </w:rPr>
              <w:t>epartment</w:t>
            </w:r>
          </w:p>
        </w:tc>
      </w:tr>
      <w:tr w:rsidR="00045970" w:rsidRPr="00F07A61" w:rsidTr="00544DDE">
        <w:trPr>
          <w:trHeight w:val="227"/>
        </w:trPr>
        <w:tc>
          <w:tcPr>
            <w:tcW w:w="2452" w:type="pct"/>
            <w:tcBorders>
              <w:top w:val="single" w:sz="6" w:space="0" w:color="auto"/>
              <w:bottom w:val="single" w:sz="6" w:space="0" w:color="auto"/>
              <w:right w:val="single" w:sz="6" w:space="0" w:color="auto"/>
            </w:tcBorders>
          </w:tcPr>
          <w:p w:rsidR="00045970" w:rsidRPr="00517D04" w:rsidRDefault="00045970" w:rsidP="00000F44">
            <w:pPr>
              <w:rPr>
                <w:rFonts w:cs="Calibri"/>
                <w:sz w:val="20"/>
                <w:szCs w:val="20"/>
              </w:rPr>
            </w:pPr>
          </w:p>
        </w:tc>
        <w:tc>
          <w:tcPr>
            <w:tcW w:w="2548" w:type="pct"/>
            <w:tcBorders>
              <w:top w:val="single" w:sz="6" w:space="0" w:color="auto"/>
              <w:left w:val="single" w:sz="6" w:space="0" w:color="auto"/>
              <w:bottom w:val="single" w:sz="6" w:space="0" w:color="auto"/>
            </w:tcBorders>
          </w:tcPr>
          <w:p w:rsidR="00045970" w:rsidRPr="00517D04" w:rsidRDefault="00F20A38" w:rsidP="00000F44">
            <w:pPr>
              <w:rPr>
                <w:rFonts w:cs="Calibri"/>
                <w:sz w:val="20"/>
                <w:szCs w:val="20"/>
              </w:rPr>
            </w:pPr>
            <w:r>
              <w:rPr>
                <w:rFonts w:cs="Calibri"/>
                <w:sz w:val="20"/>
                <w:szCs w:val="20"/>
              </w:rPr>
              <w:t>All other internal staff</w:t>
            </w:r>
          </w:p>
        </w:tc>
      </w:tr>
    </w:tbl>
    <w:p w:rsidR="00045970" w:rsidRPr="00F07A61" w:rsidRDefault="00045970" w:rsidP="00045970">
      <w:pPr>
        <w:rPr>
          <w:rFonts w:ascii="Calibri" w:hAnsi="Calibri" w:cs="Calibri"/>
        </w:rPr>
      </w:pPr>
    </w:p>
    <w:tbl>
      <w:tblPr>
        <w:tblW w:w="5097" w:type="pct"/>
        <w:tblBorders>
          <w:top w:val="single" w:sz="6" w:space="0" w:color="auto"/>
          <w:left w:val="single" w:sz="6" w:space="0" w:color="auto"/>
          <w:bottom w:val="single" w:sz="4" w:space="0" w:color="auto"/>
          <w:right w:val="single" w:sz="6" w:space="0" w:color="auto"/>
          <w:insideH w:val="single" w:sz="4" w:space="0" w:color="auto"/>
        </w:tblBorders>
        <w:tblLook w:val="0000"/>
      </w:tblPr>
      <w:tblGrid>
        <w:gridCol w:w="4620"/>
        <w:gridCol w:w="4801"/>
      </w:tblGrid>
      <w:tr w:rsidR="00045970" w:rsidRPr="00F07A61" w:rsidTr="00000F44">
        <w:tc>
          <w:tcPr>
            <w:tcW w:w="5000" w:type="pct"/>
            <w:gridSpan w:val="2"/>
            <w:tcBorders>
              <w:top w:val="single" w:sz="4" w:space="0" w:color="auto"/>
              <w:bottom w:val="single" w:sz="4" w:space="0" w:color="auto"/>
            </w:tcBorders>
            <w:shd w:val="clear" w:color="auto" w:fill="C6D9F1"/>
          </w:tcPr>
          <w:p w:rsidR="00045970" w:rsidRPr="00F07A61" w:rsidRDefault="00045970" w:rsidP="00000F44">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 xml:space="preserve">Person Specification </w:t>
            </w:r>
          </w:p>
        </w:tc>
      </w:tr>
      <w:tr w:rsidR="00045970" w:rsidRPr="00F07A61" w:rsidTr="00000F44">
        <w:tc>
          <w:tcPr>
            <w:tcW w:w="5000" w:type="pct"/>
            <w:gridSpan w:val="2"/>
            <w:tcBorders>
              <w:top w:val="single" w:sz="4" w:space="0" w:color="auto"/>
              <w:bottom w:val="single" w:sz="4" w:space="0" w:color="auto"/>
            </w:tcBorders>
            <w:shd w:val="clear" w:color="auto" w:fill="DBE5F1"/>
          </w:tcPr>
          <w:p w:rsidR="00045970" w:rsidRPr="00F07A61" w:rsidRDefault="00045970" w:rsidP="00000F44">
            <w:pPr>
              <w:pStyle w:val="Heading1"/>
              <w:framePr w:w="0" w:hRule="auto" w:hSpace="0" w:wrap="auto" w:vAnchor="margin" w:hAnchor="text" w:xAlign="left" w:yAlign="inline"/>
              <w:jc w:val="center"/>
              <w:rPr>
                <w:rFonts w:ascii="Calibri" w:hAnsi="Calibri" w:cs="Calibri"/>
                <w:b w:val="0"/>
                <w:smallCaps/>
                <w:sz w:val="22"/>
                <w:szCs w:val="22"/>
              </w:rPr>
            </w:pPr>
            <w:r w:rsidRPr="00F07A61">
              <w:rPr>
                <w:rFonts w:ascii="Calibri" w:hAnsi="Calibri" w:cs="Calibri"/>
                <w:smallCaps/>
                <w:sz w:val="22"/>
                <w:szCs w:val="22"/>
              </w:rPr>
              <w:t xml:space="preserve">Education/Qualifications </w:t>
            </w:r>
            <w:r w:rsidRPr="00F07A61">
              <w:rPr>
                <w:rFonts w:ascii="Calibri" w:hAnsi="Calibri" w:cs="Calibri"/>
                <w:b w:val="0"/>
                <w:i/>
                <w:sz w:val="22"/>
                <w:szCs w:val="22"/>
              </w:rPr>
              <w:t>necessary to meet position objectives</w:t>
            </w:r>
          </w:p>
        </w:tc>
      </w:tr>
      <w:tr w:rsidR="00045970" w:rsidRPr="00F07A61" w:rsidTr="00000F44">
        <w:trPr>
          <w:trHeight w:val="245"/>
        </w:trPr>
        <w:tc>
          <w:tcPr>
            <w:tcW w:w="2452" w:type="pct"/>
            <w:tcBorders>
              <w:top w:val="single" w:sz="4" w:space="0" w:color="auto"/>
              <w:bottom w:val="dotted" w:sz="4" w:space="0" w:color="auto"/>
              <w:right w:val="single" w:sz="4" w:space="0" w:color="auto"/>
            </w:tcBorders>
          </w:tcPr>
          <w:p w:rsidR="00045970" w:rsidRPr="00F07A61" w:rsidRDefault="00045970" w:rsidP="00000F44">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Essential</w:t>
            </w:r>
          </w:p>
        </w:tc>
        <w:tc>
          <w:tcPr>
            <w:tcW w:w="2548" w:type="pct"/>
            <w:tcBorders>
              <w:top w:val="single" w:sz="4" w:space="0" w:color="auto"/>
              <w:left w:val="single" w:sz="4" w:space="0" w:color="auto"/>
              <w:bottom w:val="dotted" w:sz="4" w:space="0" w:color="auto"/>
            </w:tcBorders>
          </w:tcPr>
          <w:p w:rsidR="00045970" w:rsidRPr="00F07A61" w:rsidRDefault="00045970" w:rsidP="00000F44">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Desirable</w:t>
            </w:r>
          </w:p>
        </w:tc>
      </w:tr>
      <w:tr w:rsidR="00045970" w:rsidRPr="00F07A61" w:rsidTr="00000F44">
        <w:trPr>
          <w:trHeight w:val="454"/>
        </w:trPr>
        <w:tc>
          <w:tcPr>
            <w:tcW w:w="2452" w:type="pct"/>
            <w:tcBorders>
              <w:top w:val="dotted" w:sz="4" w:space="0" w:color="auto"/>
              <w:bottom w:val="dotted" w:sz="4" w:space="0" w:color="auto"/>
              <w:right w:val="single" w:sz="4" w:space="0" w:color="auto"/>
            </w:tcBorders>
          </w:tcPr>
          <w:p w:rsidR="00045970" w:rsidRPr="00517D04" w:rsidRDefault="00045970" w:rsidP="00000F44">
            <w:pPr>
              <w:pStyle w:val="TableBullet1"/>
              <w:numPr>
                <w:ilvl w:val="0"/>
                <w:numId w:val="0"/>
              </w:numPr>
              <w:rPr>
                <w:rFonts w:ascii="Calibri" w:hAnsi="Calibri" w:cs="Calibri"/>
                <w:b/>
              </w:rPr>
            </w:pPr>
          </w:p>
        </w:tc>
        <w:tc>
          <w:tcPr>
            <w:tcW w:w="2548" w:type="pct"/>
            <w:tcBorders>
              <w:top w:val="dotted" w:sz="4" w:space="0" w:color="auto"/>
              <w:left w:val="single" w:sz="4" w:space="0" w:color="auto"/>
              <w:bottom w:val="dotted" w:sz="4" w:space="0" w:color="auto"/>
            </w:tcBorders>
          </w:tcPr>
          <w:p w:rsidR="00045970" w:rsidRPr="00544DDE" w:rsidRDefault="00544DDE" w:rsidP="00000F44">
            <w:pPr>
              <w:pStyle w:val="TableBullet1"/>
              <w:numPr>
                <w:ilvl w:val="0"/>
                <w:numId w:val="0"/>
              </w:numPr>
              <w:rPr>
                <w:rFonts w:asciiTheme="minorHAnsi" w:hAnsiTheme="minorHAnsi"/>
              </w:rPr>
            </w:pPr>
            <w:r w:rsidRPr="00544DDE">
              <w:rPr>
                <w:rFonts w:asciiTheme="minorHAnsi" w:hAnsiTheme="minorHAnsi"/>
              </w:rPr>
              <w:t>Bachelor degree in Accounting or related discipline</w:t>
            </w:r>
          </w:p>
        </w:tc>
      </w:tr>
      <w:tr w:rsidR="00045970" w:rsidRPr="00F07A61" w:rsidTr="00000F44">
        <w:tc>
          <w:tcPr>
            <w:tcW w:w="5000" w:type="pct"/>
            <w:gridSpan w:val="2"/>
            <w:tcBorders>
              <w:top w:val="single" w:sz="4" w:space="0" w:color="auto"/>
              <w:bottom w:val="single" w:sz="4" w:space="0" w:color="auto"/>
            </w:tcBorders>
            <w:shd w:val="clear" w:color="auto" w:fill="DBE5F1"/>
          </w:tcPr>
          <w:p w:rsidR="00045970" w:rsidRPr="00F07A61" w:rsidRDefault="00045970" w:rsidP="00000F44">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Skills/Knowledge</w:t>
            </w:r>
            <w:r w:rsidRPr="00F07A61">
              <w:rPr>
                <w:rFonts w:ascii="Calibri" w:hAnsi="Calibri" w:cs="Calibri"/>
                <w:b w:val="0"/>
                <w:i/>
                <w:sz w:val="22"/>
                <w:szCs w:val="22"/>
              </w:rPr>
              <w:t xml:space="preserve"> necessary to meet position objectives</w:t>
            </w:r>
          </w:p>
        </w:tc>
      </w:tr>
      <w:tr w:rsidR="00045970" w:rsidRPr="00F07A61" w:rsidTr="00000F44">
        <w:trPr>
          <w:trHeight w:val="250"/>
        </w:trPr>
        <w:tc>
          <w:tcPr>
            <w:tcW w:w="2452" w:type="pct"/>
            <w:tcBorders>
              <w:top w:val="single" w:sz="4" w:space="0" w:color="auto"/>
              <w:left w:val="single" w:sz="4" w:space="0" w:color="auto"/>
              <w:bottom w:val="dotted" w:sz="4" w:space="0" w:color="auto"/>
              <w:right w:val="single" w:sz="4" w:space="0" w:color="auto"/>
            </w:tcBorders>
          </w:tcPr>
          <w:p w:rsidR="00045970" w:rsidRPr="00F07A61" w:rsidRDefault="00045970" w:rsidP="00000F44">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Essential</w:t>
            </w:r>
          </w:p>
        </w:tc>
        <w:tc>
          <w:tcPr>
            <w:tcW w:w="2548" w:type="pct"/>
            <w:tcBorders>
              <w:top w:val="single" w:sz="4" w:space="0" w:color="auto"/>
              <w:left w:val="single" w:sz="4" w:space="0" w:color="auto"/>
              <w:bottom w:val="dotted" w:sz="4" w:space="0" w:color="auto"/>
            </w:tcBorders>
          </w:tcPr>
          <w:p w:rsidR="00045970" w:rsidRPr="00F07A61" w:rsidRDefault="00045970" w:rsidP="00000F44">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Desirable</w:t>
            </w:r>
          </w:p>
        </w:tc>
      </w:tr>
      <w:tr w:rsidR="00045970" w:rsidRPr="00FE1B71" w:rsidTr="00000F44">
        <w:trPr>
          <w:trHeight w:val="454"/>
        </w:trPr>
        <w:tc>
          <w:tcPr>
            <w:tcW w:w="2452" w:type="pct"/>
            <w:tcBorders>
              <w:top w:val="dotted" w:sz="4" w:space="0" w:color="auto"/>
              <w:left w:val="single" w:sz="4" w:space="0" w:color="auto"/>
              <w:bottom w:val="dotted" w:sz="4" w:space="0" w:color="auto"/>
              <w:right w:val="single" w:sz="4" w:space="0" w:color="auto"/>
            </w:tcBorders>
          </w:tcPr>
          <w:p w:rsidR="00045970" w:rsidRPr="00517D04" w:rsidRDefault="00320823" w:rsidP="00000F44">
            <w:pPr>
              <w:pStyle w:val="TableBullet1"/>
              <w:numPr>
                <w:ilvl w:val="0"/>
                <w:numId w:val="0"/>
              </w:numPr>
              <w:rPr>
                <w:rFonts w:asciiTheme="minorHAnsi" w:hAnsiTheme="minorHAnsi"/>
              </w:rPr>
            </w:pPr>
            <w:r>
              <w:rPr>
                <w:rFonts w:asciiTheme="minorHAnsi" w:hAnsiTheme="minorHAnsi"/>
              </w:rPr>
              <w:t>MS Word, Excel &amp; Outlook skills</w:t>
            </w:r>
          </w:p>
        </w:tc>
        <w:tc>
          <w:tcPr>
            <w:tcW w:w="2548" w:type="pct"/>
            <w:tcBorders>
              <w:top w:val="dotted" w:sz="4" w:space="0" w:color="auto"/>
              <w:left w:val="single" w:sz="4" w:space="0" w:color="auto"/>
              <w:bottom w:val="dotted" w:sz="4" w:space="0" w:color="auto"/>
            </w:tcBorders>
          </w:tcPr>
          <w:p w:rsidR="00045970" w:rsidRPr="00517D04" w:rsidRDefault="00544DDE" w:rsidP="00000F44">
            <w:pPr>
              <w:pStyle w:val="TableBullet1"/>
              <w:numPr>
                <w:ilvl w:val="0"/>
                <w:numId w:val="0"/>
              </w:numPr>
              <w:rPr>
                <w:rFonts w:asciiTheme="minorHAnsi" w:hAnsiTheme="minorHAnsi"/>
              </w:rPr>
            </w:pPr>
            <w:r>
              <w:rPr>
                <w:rFonts w:asciiTheme="minorHAnsi" w:hAnsiTheme="minorHAnsi"/>
              </w:rPr>
              <w:t>Great Plains a</w:t>
            </w:r>
            <w:r w:rsidR="00320823">
              <w:rPr>
                <w:rFonts w:asciiTheme="minorHAnsi" w:hAnsiTheme="minorHAnsi"/>
              </w:rPr>
              <w:t>ccounting package</w:t>
            </w:r>
          </w:p>
        </w:tc>
      </w:tr>
      <w:tr w:rsidR="00544DDE" w:rsidRPr="00FE1B71" w:rsidTr="00000F44">
        <w:trPr>
          <w:trHeight w:val="454"/>
        </w:trPr>
        <w:tc>
          <w:tcPr>
            <w:tcW w:w="2452" w:type="pct"/>
            <w:tcBorders>
              <w:top w:val="dotted" w:sz="4" w:space="0" w:color="auto"/>
              <w:left w:val="single" w:sz="4" w:space="0" w:color="auto"/>
              <w:bottom w:val="dotted" w:sz="4" w:space="0" w:color="auto"/>
              <w:right w:val="single" w:sz="4" w:space="0" w:color="auto"/>
            </w:tcBorders>
          </w:tcPr>
          <w:p w:rsidR="00544DDE" w:rsidRDefault="00544DDE" w:rsidP="00544DDE">
            <w:pPr>
              <w:pStyle w:val="TableBullet1"/>
              <w:numPr>
                <w:ilvl w:val="0"/>
                <w:numId w:val="0"/>
              </w:numPr>
              <w:rPr>
                <w:rFonts w:asciiTheme="minorHAnsi" w:hAnsiTheme="minorHAnsi"/>
              </w:rPr>
            </w:pPr>
            <w:r>
              <w:rPr>
                <w:rFonts w:asciiTheme="minorHAnsi" w:hAnsiTheme="minorHAnsi"/>
              </w:rPr>
              <w:lastRenderedPageBreak/>
              <w:t>Accounts Payable</w:t>
            </w:r>
          </w:p>
        </w:tc>
        <w:tc>
          <w:tcPr>
            <w:tcW w:w="2548" w:type="pct"/>
            <w:tcBorders>
              <w:top w:val="dotted" w:sz="4" w:space="0" w:color="auto"/>
              <w:left w:val="single" w:sz="4" w:space="0" w:color="auto"/>
              <w:bottom w:val="dotted" w:sz="4" w:space="0" w:color="auto"/>
            </w:tcBorders>
          </w:tcPr>
          <w:p w:rsidR="00544DDE" w:rsidRDefault="00544DDE" w:rsidP="00000F44">
            <w:pPr>
              <w:pStyle w:val="TableBullet1"/>
              <w:numPr>
                <w:ilvl w:val="0"/>
                <w:numId w:val="0"/>
              </w:numPr>
              <w:rPr>
                <w:rFonts w:asciiTheme="minorHAnsi" w:hAnsiTheme="minorHAnsi"/>
              </w:rPr>
            </w:pPr>
          </w:p>
        </w:tc>
      </w:tr>
      <w:tr w:rsidR="00045970" w:rsidRPr="00FE1B71" w:rsidTr="00000F44">
        <w:trPr>
          <w:trHeight w:val="454"/>
        </w:trPr>
        <w:tc>
          <w:tcPr>
            <w:tcW w:w="2452" w:type="pct"/>
            <w:tcBorders>
              <w:top w:val="dotted" w:sz="4" w:space="0" w:color="auto"/>
              <w:left w:val="single" w:sz="4" w:space="0" w:color="auto"/>
              <w:bottom w:val="dotted" w:sz="4" w:space="0" w:color="auto"/>
              <w:right w:val="single" w:sz="4" w:space="0" w:color="auto"/>
            </w:tcBorders>
          </w:tcPr>
          <w:p w:rsidR="00045970" w:rsidRPr="00517D04" w:rsidRDefault="00544DDE" w:rsidP="00544DDE">
            <w:pPr>
              <w:pStyle w:val="TableBullet1"/>
              <w:numPr>
                <w:ilvl w:val="0"/>
                <w:numId w:val="0"/>
              </w:numPr>
              <w:rPr>
                <w:rFonts w:asciiTheme="minorHAnsi" w:hAnsiTheme="minorHAnsi"/>
              </w:rPr>
            </w:pPr>
            <w:r>
              <w:rPr>
                <w:rFonts w:asciiTheme="minorHAnsi" w:hAnsiTheme="minorHAnsi"/>
              </w:rPr>
              <w:t>Excellent w</w:t>
            </w:r>
            <w:r w:rsidR="00320823">
              <w:rPr>
                <w:rFonts w:asciiTheme="minorHAnsi" w:hAnsiTheme="minorHAnsi"/>
              </w:rPr>
              <w:t xml:space="preserve">ritten </w:t>
            </w:r>
            <w:r>
              <w:rPr>
                <w:rFonts w:asciiTheme="minorHAnsi" w:hAnsiTheme="minorHAnsi"/>
              </w:rPr>
              <w:t>and</w:t>
            </w:r>
            <w:r w:rsidR="00320823">
              <w:rPr>
                <w:rFonts w:asciiTheme="minorHAnsi" w:hAnsiTheme="minorHAnsi"/>
              </w:rPr>
              <w:t xml:space="preserve"> oral communication skills</w:t>
            </w:r>
          </w:p>
        </w:tc>
        <w:tc>
          <w:tcPr>
            <w:tcW w:w="2548" w:type="pct"/>
            <w:tcBorders>
              <w:top w:val="dotted" w:sz="4" w:space="0" w:color="auto"/>
              <w:left w:val="single" w:sz="4" w:space="0" w:color="auto"/>
              <w:bottom w:val="dotted" w:sz="4" w:space="0" w:color="auto"/>
            </w:tcBorders>
          </w:tcPr>
          <w:p w:rsidR="00045970" w:rsidRPr="00517D04" w:rsidRDefault="00045970" w:rsidP="00000F44">
            <w:pPr>
              <w:pStyle w:val="TableBullet1"/>
              <w:numPr>
                <w:ilvl w:val="0"/>
                <w:numId w:val="0"/>
              </w:numPr>
              <w:rPr>
                <w:rFonts w:asciiTheme="minorHAnsi" w:hAnsiTheme="minorHAnsi"/>
              </w:rPr>
            </w:pPr>
          </w:p>
        </w:tc>
      </w:tr>
      <w:tr w:rsidR="00045970" w:rsidRPr="00F07A61" w:rsidTr="00000F44">
        <w:tc>
          <w:tcPr>
            <w:tcW w:w="5000" w:type="pct"/>
            <w:gridSpan w:val="2"/>
            <w:tcBorders>
              <w:top w:val="single" w:sz="4" w:space="0" w:color="auto"/>
              <w:bottom w:val="single" w:sz="4" w:space="0" w:color="auto"/>
            </w:tcBorders>
            <w:shd w:val="clear" w:color="auto" w:fill="DBE5F1"/>
          </w:tcPr>
          <w:p w:rsidR="00045970" w:rsidRPr="00F07A61" w:rsidRDefault="00045970" w:rsidP="00000F44">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 xml:space="preserve">Attributes </w:t>
            </w:r>
            <w:r w:rsidRPr="00F07A61">
              <w:rPr>
                <w:rFonts w:ascii="Calibri" w:hAnsi="Calibri" w:cs="Calibri"/>
                <w:b w:val="0"/>
                <w:i/>
                <w:sz w:val="22"/>
                <w:szCs w:val="22"/>
              </w:rPr>
              <w:t>required to ensure satisfactory performance and cultural fit</w:t>
            </w:r>
          </w:p>
        </w:tc>
      </w:tr>
      <w:tr w:rsidR="00045970" w:rsidRPr="00F07A61" w:rsidTr="00000F44">
        <w:trPr>
          <w:trHeight w:val="249"/>
        </w:trPr>
        <w:tc>
          <w:tcPr>
            <w:tcW w:w="2452" w:type="pct"/>
            <w:tcBorders>
              <w:top w:val="single" w:sz="4" w:space="0" w:color="auto"/>
              <w:bottom w:val="dotted" w:sz="4" w:space="0" w:color="auto"/>
              <w:right w:val="single" w:sz="4" w:space="0" w:color="auto"/>
            </w:tcBorders>
          </w:tcPr>
          <w:p w:rsidR="00045970" w:rsidRPr="00F07A61" w:rsidRDefault="00045970" w:rsidP="00000F44">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Essential</w:t>
            </w:r>
          </w:p>
        </w:tc>
        <w:tc>
          <w:tcPr>
            <w:tcW w:w="2548" w:type="pct"/>
            <w:tcBorders>
              <w:top w:val="single" w:sz="4" w:space="0" w:color="auto"/>
              <w:left w:val="single" w:sz="4" w:space="0" w:color="auto"/>
              <w:bottom w:val="dotted" w:sz="4" w:space="0" w:color="auto"/>
            </w:tcBorders>
          </w:tcPr>
          <w:p w:rsidR="00045970" w:rsidRPr="00F07A61" w:rsidRDefault="00045970" w:rsidP="00000F44">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Desirable</w:t>
            </w:r>
          </w:p>
        </w:tc>
      </w:tr>
      <w:tr w:rsidR="00045970" w:rsidRPr="00FE1B71" w:rsidTr="00000F44">
        <w:trPr>
          <w:trHeight w:val="454"/>
        </w:trPr>
        <w:tc>
          <w:tcPr>
            <w:tcW w:w="2452" w:type="pct"/>
            <w:tcBorders>
              <w:top w:val="dotted" w:sz="4" w:space="0" w:color="auto"/>
              <w:bottom w:val="dotted" w:sz="4" w:space="0" w:color="auto"/>
              <w:right w:val="single" w:sz="4" w:space="0" w:color="auto"/>
            </w:tcBorders>
          </w:tcPr>
          <w:p w:rsidR="00045970" w:rsidRPr="00AB3BFB" w:rsidRDefault="00045970" w:rsidP="00000F44">
            <w:pPr>
              <w:pStyle w:val="TableBullet1"/>
              <w:numPr>
                <w:ilvl w:val="0"/>
                <w:numId w:val="0"/>
              </w:numPr>
              <w:rPr>
                <w:rFonts w:asciiTheme="minorHAnsi" w:hAnsiTheme="minorHAnsi"/>
              </w:rPr>
            </w:pPr>
            <w:r w:rsidRPr="00AB3BFB">
              <w:rPr>
                <w:rFonts w:asciiTheme="minorHAnsi" w:hAnsiTheme="minorHAnsi"/>
              </w:rPr>
              <w:t>Responsiveness</w:t>
            </w:r>
          </w:p>
        </w:tc>
        <w:tc>
          <w:tcPr>
            <w:tcW w:w="2548" w:type="pct"/>
            <w:tcBorders>
              <w:top w:val="dotted" w:sz="4" w:space="0" w:color="auto"/>
              <w:left w:val="single" w:sz="4" w:space="0" w:color="auto"/>
              <w:bottom w:val="dotted" w:sz="4" w:space="0" w:color="auto"/>
            </w:tcBorders>
          </w:tcPr>
          <w:p w:rsidR="00045970" w:rsidRPr="00AB3BFB" w:rsidRDefault="00045970" w:rsidP="00000F44">
            <w:pPr>
              <w:pStyle w:val="TableBullet1"/>
              <w:numPr>
                <w:ilvl w:val="0"/>
                <w:numId w:val="0"/>
              </w:numPr>
              <w:rPr>
                <w:rFonts w:asciiTheme="minorHAnsi" w:hAnsiTheme="minorHAnsi"/>
              </w:rPr>
            </w:pPr>
            <w:r w:rsidRPr="00AB3BFB">
              <w:rPr>
                <w:rFonts w:asciiTheme="minorHAnsi" w:hAnsiTheme="minorHAnsi"/>
              </w:rPr>
              <w:t>Ability to Multi-task</w:t>
            </w:r>
          </w:p>
        </w:tc>
      </w:tr>
      <w:tr w:rsidR="00045970" w:rsidRPr="00FE1B71" w:rsidTr="00000F44">
        <w:trPr>
          <w:trHeight w:val="454"/>
        </w:trPr>
        <w:tc>
          <w:tcPr>
            <w:tcW w:w="2452" w:type="pct"/>
            <w:tcBorders>
              <w:top w:val="dotted" w:sz="4" w:space="0" w:color="auto"/>
              <w:bottom w:val="dotted" w:sz="4" w:space="0" w:color="auto"/>
              <w:right w:val="single" w:sz="4" w:space="0" w:color="auto"/>
            </w:tcBorders>
          </w:tcPr>
          <w:p w:rsidR="00045970" w:rsidRPr="00AB3BFB" w:rsidRDefault="00045970" w:rsidP="00000F44">
            <w:pPr>
              <w:pStyle w:val="TableBullet1"/>
              <w:numPr>
                <w:ilvl w:val="0"/>
                <w:numId w:val="0"/>
              </w:numPr>
              <w:rPr>
                <w:rFonts w:asciiTheme="minorHAnsi" w:hAnsiTheme="minorHAnsi"/>
              </w:rPr>
            </w:pPr>
            <w:r w:rsidRPr="00AB3BFB">
              <w:rPr>
                <w:rFonts w:asciiTheme="minorHAnsi" w:hAnsiTheme="minorHAnsi"/>
              </w:rPr>
              <w:t>Integrity</w:t>
            </w:r>
          </w:p>
        </w:tc>
        <w:tc>
          <w:tcPr>
            <w:tcW w:w="2548" w:type="pct"/>
            <w:tcBorders>
              <w:top w:val="dotted" w:sz="4" w:space="0" w:color="auto"/>
              <w:left w:val="single" w:sz="4" w:space="0" w:color="auto"/>
              <w:bottom w:val="dotted" w:sz="4" w:space="0" w:color="auto"/>
            </w:tcBorders>
          </w:tcPr>
          <w:p w:rsidR="00045970" w:rsidRPr="00AB3BFB" w:rsidRDefault="00045970" w:rsidP="00000F44">
            <w:pPr>
              <w:pStyle w:val="TableBullet1"/>
              <w:numPr>
                <w:ilvl w:val="0"/>
                <w:numId w:val="0"/>
              </w:numPr>
              <w:rPr>
                <w:rFonts w:asciiTheme="minorHAnsi" w:hAnsiTheme="minorHAnsi"/>
              </w:rPr>
            </w:pPr>
            <w:r w:rsidRPr="00AB3BFB">
              <w:rPr>
                <w:rFonts w:asciiTheme="minorHAnsi" w:hAnsiTheme="minorHAnsi"/>
              </w:rPr>
              <w:t>Self Motivated</w:t>
            </w:r>
          </w:p>
        </w:tc>
      </w:tr>
      <w:tr w:rsidR="00045970" w:rsidRPr="00FE1B71" w:rsidTr="00000F44">
        <w:trPr>
          <w:trHeight w:val="454"/>
        </w:trPr>
        <w:tc>
          <w:tcPr>
            <w:tcW w:w="2452" w:type="pct"/>
            <w:tcBorders>
              <w:top w:val="dotted" w:sz="4" w:space="0" w:color="auto"/>
              <w:bottom w:val="dotted" w:sz="4" w:space="0" w:color="auto"/>
              <w:right w:val="single" w:sz="4" w:space="0" w:color="auto"/>
            </w:tcBorders>
          </w:tcPr>
          <w:p w:rsidR="00045970" w:rsidRPr="00AB3BFB" w:rsidRDefault="00045970" w:rsidP="00000F44">
            <w:pPr>
              <w:pStyle w:val="TableBullet1"/>
              <w:numPr>
                <w:ilvl w:val="0"/>
                <w:numId w:val="0"/>
              </w:numPr>
              <w:rPr>
                <w:rFonts w:asciiTheme="minorHAnsi" w:hAnsiTheme="minorHAnsi"/>
              </w:rPr>
            </w:pPr>
            <w:r w:rsidRPr="00AB3BFB">
              <w:rPr>
                <w:rFonts w:asciiTheme="minorHAnsi" w:hAnsiTheme="minorHAnsi"/>
              </w:rPr>
              <w:t>Impartiality</w:t>
            </w:r>
          </w:p>
        </w:tc>
        <w:tc>
          <w:tcPr>
            <w:tcW w:w="2548" w:type="pct"/>
            <w:tcBorders>
              <w:top w:val="dotted" w:sz="4" w:space="0" w:color="auto"/>
              <w:left w:val="single" w:sz="4" w:space="0" w:color="auto"/>
              <w:bottom w:val="dotted" w:sz="4" w:space="0" w:color="auto"/>
            </w:tcBorders>
          </w:tcPr>
          <w:p w:rsidR="00045970" w:rsidRPr="00AB3BFB" w:rsidRDefault="00045970" w:rsidP="00000F44">
            <w:pPr>
              <w:pStyle w:val="TableBullet1"/>
              <w:numPr>
                <w:ilvl w:val="0"/>
                <w:numId w:val="0"/>
              </w:numPr>
              <w:rPr>
                <w:rFonts w:asciiTheme="minorHAnsi" w:hAnsiTheme="minorHAnsi"/>
              </w:rPr>
            </w:pPr>
            <w:r w:rsidRPr="00AB3BFB">
              <w:rPr>
                <w:rFonts w:asciiTheme="minorHAnsi" w:hAnsiTheme="minorHAnsi"/>
              </w:rPr>
              <w:t>Lateral thinker</w:t>
            </w:r>
          </w:p>
        </w:tc>
      </w:tr>
      <w:tr w:rsidR="00045970" w:rsidRPr="00AB3BFB" w:rsidTr="00045970">
        <w:trPr>
          <w:trHeight w:val="454"/>
        </w:trPr>
        <w:tc>
          <w:tcPr>
            <w:tcW w:w="2452" w:type="pct"/>
            <w:tcBorders>
              <w:top w:val="dotted" w:sz="4" w:space="0" w:color="auto"/>
              <w:left w:val="single" w:sz="6" w:space="0" w:color="auto"/>
              <w:bottom w:val="dotted" w:sz="4" w:space="0" w:color="auto"/>
              <w:right w:val="single" w:sz="4" w:space="0" w:color="auto"/>
            </w:tcBorders>
          </w:tcPr>
          <w:p w:rsidR="00045970" w:rsidRPr="00AB3BFB" w:rsidRDefault="00045970" w:rsidP="00000F44">
            <w:pPr>
              <w:pStyle w:val="TableBullet1"/>
              <w:numPr>
                <w:ilvl w:val="0"/>
                <w:numId w:val="0"/>
              </w:numPr>
              <w:rPr>
                <w:rFonts w:asciiTheme="minorHAnsi" w:hAnsiTheme="minorHAnsi"/>
              </w:rPr>
            </w:pPr>
            <w:r w:rsidRPr="00AB3BFB">
              <w:rPr>
                <w:rFonts w:asciiTheme="minorHAnsi" w:hAnsiTheme="minorHAnsi"/>
              </w:rPr>
              <w:t>Accountability</w:t>
            </w:r>
          </w:p>
        </w:tc>
        <w:tc>
          <w:tcPr>
            <w:tcW w:w="2548" w:type="pct"/>
            <w:tcBorders>
              <w:top w:val="dotted" w:sz="4" w:space="0" w:color="auto"/>
              <w:left w:val="single" w:sz="4" w:space="0" w:color="auto"/>
              <w:bottom w:val="dotted" w:sz="4" w:space="0" w:color="auto"/>
              <w:right w:val="single" w:sz="6" w:space="0" w:color="auto"/>
            </w:tcBorders>
          </w:tcPr>
          <w:p w:rsidR="00045970" w:rsidRPr="00AB3BFB" w:rsidRDefault="00320823" w:rsidP="00000F44">
            <w:pPr>
              <w:pStyle w:val="TableBullet1"/>
              <w:numPr>
                <w:ilvl w:val="0"/>
                <w:numId w:val="0"/>
              </w:numPr>
              <w:rPr>
                <w:rFonts w:asciiTheme="minorHAnsi" w:hAnsiTheme="minorHAnsi"/>
              </w:rPr>
            </w:pPr>
            <w:r>
              <w:rPr>
                <w:rFonts w:asciiTheme="minorHAnsi" w:hAnsiTheme="minorHAnsi"/>
              </w:rPr>
              <w:t>Attention to detail</w:t>
            </w:r>
          </w:p>
        </w:tc>
      </w:tr>
      <w:tr w:rsidR="00045970" w:rsidRPr="00AB3BFB" w:rsidTr="00045970">
        <w:trPr>
          <w:trHeight w:val="454"/>
        </w:trPr>
        <w:tc>
          <w:tcPr>
            <w:tcW w:w="2452" w:type="pct"/>
            <w:tcBorders>
              <w:top w:val="dotted" w:sz="4" w:space="0" w:color="auto"/>
              <w:left w:val="single" w:sz="6" w:space="0" w:color="auto"/>
              <w:bottom w:val="dotted" w:sz="4" w:space="0" w:color="auto"/>
              <w:right w:val="single" w:sz="4" w:space="0" w:color="auto"/>
            </w:tcBorders>
          </w:tcPr>
          <w:p w:rsidR="00045970" w:rsidRPr="00AB3BFB" w:rsidRDefault="00045970" w:rsidP="00000F44">
            <w:pPr>
              <w:pStyle w:val="TableBullet1"/>
              <w:numPr>
                <w:ilvl w:val="0"/>
                <w:numId w:val="0"/>
              </w:numPr>
              <w:rPr>
                <w:rFonts w:asciiTheme="minorHAnsi" w:hAnsiTheme="minorHAnsi"/>
              </w:rPr>
            </w:pPr>
            <w:r w:rsidRPr="00AB3BFB">
              <w:rPr>
                <w:rFonts w:asciiTheme="minorHAnsi" w:hAnsiTheme="minorHAnsi"/>
              </w:rPr>
              <w:t>Respect</w:t>
            </w:r>
          </w:p>
        </w:tc>
        <w:tc>
          <w:tcPr>
            <w:tcW w:w="2548" w:type="pct"/>
            <w:tcBorders>
              <w:top w:val="dotted" w:sz="4" w:space="0" w:color="auto"/>
              <w:left w:val="single" w:sz="4" w:space="0" w:color="auto"/>
              <w:bottom w:val="dotted" w:sz="4" w:space="0" w:color="auto"/>
              <w:right w:val="single" w:sz="6" w:space="0" w:color="auto"/>
            </w:tcBorders>
          </w:tcPr>
          <w:p w:rsidR="00045970" w:rsidRPr="00AB3BFB" w:rsidRDefault="00320823" w:rsidP="00000F44">
            <w:pPr>
              <w:pStyle w:val="TableBullet1"/>
              <w:numPr>
                <w:ilvl w:val="0"/>
                <w:numId w:val="0"/>
              </w:numPr>
              <w:rPr>
                <w:rFonts w:asciiTheme="minorHAnsi" w:hAnsiTheme="minorHAnsi"/>
              </w:rPr>
            </w:pPr>
            <w:r>
              <w:rPr>
                <w:rFonts w:asciiTheme="minorHAnsi" w:hAnsiTheme="minorHAnsi"/>
              </w:rPr>
              <w:t>Ability to meet deadlines</w:t>
            </w:r>
          </w:p>
        </w:tc>
      </w:tr>
      <w:tr w:rsidR="00045970" w:rsidRPr="00AB3BFB" w:rsidTr="00045970">
        <w:trPr>
          <w:trHeight w:val="454"/>
        </w:trPr>
        <w:tc>
          <w:tcPr>
            <w:tcW w:w="2452" w:type="pct"/>
            <w:tcBorders>
              <w:top w:val="dotted" w:sz="4" w:space="0" w:color="auto"/>
              <w:left w:val="single" w:sz="6" w:space="0" w:color="auto"/>
              <w:bottom w:val="dotted" w:sz="4" w:space="0" w:color="auto"/>
              <w:right w:val="single" w:sz="4" w:space="0" w:color="auto"/>
            </w:tcBorders>
          </w:tcPr>
          <w:p w:rsidR="00045970" w:rsidRPr="00045970" w:rsidRDefault="00045970" w:rsidP="00544DDE">
            <w:pPr>
              <w:pStyle w:val="TableBullet1"/>
              <w:numPr>
                <w:ilvl w:val="0"/>
                <w:numId w:val="0"/>
              </w:numPr>
              <w:rPr>
                <w:rFonts w:asciiTheme="minorHAnsi" w:hAnsiTheme="minorHAnsi"/>
              </w:rPr>
            </w:pPr>
            <w:r w:rsidRPr="00045970">
              <w:rPr>
                <w:rFonts w:asciiTheme="minorHAnsi" w:hAnsiTheme="minorHAnsi"/>
              </w:rPr>
              <w:t>Leadership</w:t>
            </w:r>
          </w:p>
        </w:tc>
        <w:tc>
          <w:tcPr>
            <w:tcW w:w="2548" w:type="pct"/>
            <w:tcBorders>
              <w:top w:val="dotted" w:sz="4" w:space="0" w:color="auto"/>
              <w:left w:val="single" w:sz="4" w:space="0" w:color="auto"/>
              <w:bottom w:val="dotted" w:sz="4" w:space="0" w:color="auto"/>
              <w:right w:val="single" w:sz="6" w:space="0" w:color="auto"/>
            </w:tcBorders>
          </w:tcPr>
          <w:p w:rsidR="00045970" w:rsidRPr="00045970" w:rsidRDefault="00045970" w:rsidP="00320823">
            <w:pPr>
              <w:pStyle w:val="TableBullet1"/>
              <w:numPr>
                <w:ilvl w:val="0"/>
                <w:numId w:val="0"/>
              </w:numPr>
              <w:ind w:left="360"/>
              <w:rPr>
                <w:rFonts w:asciiTheme="minorHAnsi" w:hAnsiTheme="minorHAnsi"/>
              </w:rPr>
            </w:pPr>
          </w:p>
        </w:tc>
      </w:tr>
      <w:tr w:rsidR="00045970" w:rsidRPr="00AB3BFB" w:rsidTr="00045970">
        <w:trPr>
          <w:trHeight w:val="454"/>
        </w:trPr>
        <w:tc>
          <w:tcPr>
            <w:tcW w:w="2452" w:type="pct"/>
            <w:tcBorders>
              <w:top w:val="dotted" w:sz="4" w:space="0" w:color="auto"/>
              <w:left w:val="single" w:sz="6" w:space="0" w:color="auto"/>
              <w:bottom w:val="dotted" w:sz="4" w:space="0" w:color="auto"/>
              <w:right w:val="single" w:sz="4" w:space="0" w:color="auto"/>
            </w:tcBorders>
          </w:tcPr>
          <w:p w:rsidR="00045970" w:rsidRPr="00045970" w:rsidRDefault="00045970" w:rsidP="00544DDE">
            <w:pPr>
              <w:pStyle w:val="TableBullet1"/>
              <w:numPr>
                <w:ilvl w:val="0"/>
                <w:numId w:val="0"/>
              </w:numPr>
              <w:rPr>
                <w:rFonts w:asciiTheme="minorHAnsi" w:hAnsiTheme="minorHAnsi"/>
              </w:rPr>
            </w:pPr>
            <w:r w:rsidRPr="00045970">
              <w:rPr>
                <w:rFonts w:asciiTheme="minorHAnsi" w:hAnsiTheme="minorHAnsi"/>
              </w:rPr>
              <w:t>Human Rights</w:t>
            </w:r>
          </w:p>
        </w:tc>
        <w:tc>
          <w:tcPr>
            <w:tcW w:w="2548" w:type="pct"/>
            <w:tcBorders>
              <w:top w:val="dotted" w:sz="4" w:space="0" w:color="auto"/>
              <w:left w:val="single" w:sz="4" w:space="0" w:color="auto"/>
              <w:bottom w:val="dotted" w:sz="4" w:space="0" w:color="auto"/>
              <w:right w:val="single" w:sz="6" w:space="0" w:color="auto"/>
            </w:tcBorders>
          </w:tcPr>
          <w:p w:rsidR="00045970" w:rsidRPr="00045970" w:rsidRDefault="00045970" w:rsidP="00320823">
            <w:pPr>
              <w:pStyle w:val="TableBullet1"/>
              <w:numPr>
                <w:ilvl w:val="0"/>
                <w:numId w:val="0"/>
              </w:numPr>
              <w:ind w:left="360"/>
              <w:rPr>
                <w:rFonts w:asciiTheme="minorHAnsi" w:hAnsiTheme="minorHAnsi"/>
              </w:rPr>
            </w:pPr>
          </w:p>
        </w:tc>
      </w:tr>
    </w:tbl>
    <w:p w:rsidR="00045970" w:rsidRDefault="00045970" w:rsidP="00045970">
      <w:pPr>
        <w:rPr>
          <w:rFonts w:ascii="Calibri" w:hAnsi="Calibri" w:cs="Calibri"/>
        </w:rPr>
      </w:pPr>
    </w:p>
    <w:tbl>
      <w:tblPr>
        <w:tblW w:w="5097" w:type="pct"/>
        <w:tblBorders>
          <w:top w:val="single" w:sz="6" w:space="0" w:color="auto"/>
          <w:left w:val="single" w:sz="6" w:space="0" w:color="auto"/>
          <w:bottom w:val="single" w:sz="4" w:space="0" w:color="auto"/>
          <w:right w:val="single" w:sz="6" w:space="0" w:color="auto"/>
          <w:insideH w:val="single" w:sz="4" w:space="0" w:color="auto"/>
        </w:tblBorders>
        <w:tblLook w:val="0000"/>
      </w:tblPr>
      <w:tblGrid>
        <w:gridCol w:w="9421"/>
      </w:tblGrid>
      <w:tr w:rsidR="00045970" w:rsidRPr="00F07A61" w:rsidTr="00000F44">
        <w:tc>
          <w:tcPr>
            <w:tcW w:w="5000" w:type="pct"/>
            <w:tcBorders>
              <w:top w:val="single" w:sz="4" w:space="0" w:color="auto"/>
              <w:bottom w:val="single" w:sz="4" w:space="0" w:color="auto"/>
            </w:tcBorders>
            <w:shd w:val="clear" w:color="auto" w:fill="C6D9F1"/>
          </w:tcPr>
          <w:p w:rsidR="00045970" w:rsidRPr="00F07A61" w:rsidRDefault="00045970" w:rsidP="00000F44">
            <w:pPr>
              <w:pStyle w:val="Heading1"/>
              <w:framePr w:w="0" w:hRule="auto" w:hSpace="0" w:wrap="auto" w:vAnchor="margin" w:hAnchor="text" w:xAlign="left" w:yAlign="inline"/>
              <w:jc w:val="center"/>
              <w:rPr>
                <w:rFonts w:ascii="Calibri" w:hAnsi="Calibri" w:cs="Calibri"/>
                <w:smallCaps/>
                <w:sz w:val="22"/>
                <w:szCs w:val="22"/>
              </w:rPr>
            </w:pPr>
            <w:r>
              <w:rPr>
                <w:rFonts w:ascii="Calibri" w:hAnsi="Calibri" w:cs="Calibri"/>
                <w:smallCaps/>
                <w:sz w:val="22"/>
                <w:szCs w:val="22"/>
              </w:rPr>
              <w:t>Employment Conditions</w:t>
            </w:r>
          </w:p>
        </w:tc>
      </w:tr>
      <w:tr w:rsidR="00045970" w:rsidRPr="00F07A61" w:rsidTr="00000F44">
        <w:trPr>
          <w:trHeight w:val="2300"/>
        </w:trPr>
        <w:tc>
          <w:tcPr>
            <w:tcW w:w="5000" w:type="pct"/>
            <w:tcBorders>
              <w:top w:val="single" w:sz="4" w:space="0" w:color="auto"/>
            </w:tcBorders>
            <w:shd w:val="clear" w:color="auto" w:fill="DBE5F1"/>
          </w:tcPr>
          <w:p w:rsidR="00045970" w:rsidRPr="00046261" w:rsidRDefault="00045970" w:rsidP="00045970">
            <w:pPr>
              <w:numPr>
                <w:ilvl w:val="0"/>
                <w:numId w:val="5"/>
              </w:numPr>
              <w:spacing w:before="120" w:after="0" w:line="240" w:lineRule="auto"/>
              <w:rPr>
                <w:rFonts w:ascii="Calibri" w:hAnsi="Calibri" w:cs="Calibri"/>
                <w:sz w:val="20"/>
              </w:rPr>
            </w:pPr>
            <w:r w:rsidRPr="00046261">
              <w:rPr>
                <w:rFonts w:ascii="Calibri" w:hAnsi="Calibri" w:cs="Calibri"/>
                <w:sz w:val="20"/>
              </w:rPr>
              <w:t xml:space="preserve">Terms and conditions of employment are per the current GRV ‘Employee Enterprise Agreement’ </w:t>
            </w:r>
          </w:p>
          <w:p w:rsidR="00045970" w:rsidRPr="00046261" w:rsidRDefault="00045970" w:rsidP="00045970">
            <w:pPr>
              <w:numPr>
                <w:ilvl w:val="0"/>
                <w:numId w:val="5"/>
              </w:numPr>
              <w:spacing w:before="120" w:after="0" w:line="240" w:lineRule="auto"/>
              <w:rPr>
                <w:rFonts w:ascii="Calibri" w:hAnsi="Calibri" w:cs="Calibri"/>
                <w:sz w:val="20"/>
              </w:rPr>
            </w:pPr>
            <w:r w:rsidRPr="00046261">
              <w:rPr>
                <w:rFonts w:ascii="Calibri" w:hAnsi="Calibri" w:cs="Calibri"/>
                <w:sz w:val="20"/>
              </w:rPr>
              <w:t>The GRV environment is a unique and challenging operational environment. It operates weekdays, weekends, day and night hours. GRV employees are bound by a number of regulatory Government requirements. In addition, all staff are required to abide by GRV policies including restricted gambling, greyhound ownership and the Code of Conduct for Victorian Public Sector Employees.</w:t>
            </w:r>
          </w:p>
          <w:p w:rsidR="00045970" w:rsidRPr="00046261" w:rsidRDefault="00045970" w:rsidP="00045970">
            <w:pPr>
              <w:numPr>
                <w:ilvl w:val="0"/>
                <w:numId w:val="5"/>
              </w:numPr>
              <w:spacing w:before="120" w:after="0" w:line="240" w:lineRule="auto"/>
              <w:rPr>
                <w:rFonts w:ascii="Calibri" w:hAnsi="Calibri" w:cs="Calibri"/>
                <w:sz w:val="20"/>
              </w:rPr>
            </w:pPr>
            <w:r w:rsidRPr="00046261">
              <w:rPr>
                <w:rFonts w:ascii="Calibri" w:hAnsi="Calibri" w:cs="Calibri"/>
                <w:sz w:val="20"/>
              </w:rPr>
              <w:t>All employment at GRV is subject to a satisfactory pol</w:t>
            </w:r>
            <w:r>
              <w:rPr>
                <w:rFonts w:ascii="Calibri" w:hAnsi="Calibri" w:cs="Calibri"/>
                <w:sz w:val="20"/>
              </w:rPr>
              <w:t>ice check prior to commencement</w:t>
            </w:r>
          </w:p>
          <w:p w:rsidR="00045970" w:rsidRDefault="00045970" w:rsidP="00045970">
            <w:pPr>
              <w:numPr>
                <w:ilvl w:val="0"/>
                <w:numId w:val="5"/>
              </w:numPr>
              <w:spacing w:before="120" w:after="0" w:line="240" w:lineRule="auto"/>
              <w:rPr>
                <w:rFonts w:ascii="Calibri" w:hAnsi="Calibri" w:cs="Calibri"/>
                <w:sz w:val="20"/>
              </w:rPr>
            </w:pPr>
            <w:r w:rsidRPr="00046261">
              <w:rPr>
                <w:rFonts w:ascii="Calibri" w:hAnsi="Calibri" w:cs="Calibri"/>
                <w:sz w:val="20"/>
              </w:rPr>
              <w:t>All employees at GRV are required to have the right to work in Australia.</w:t>
            </w:r>
          </w:p>
          <w:p w:rsidR="00045970" w:rsidRPr="00046261" w:rsidRDefault="00045970" w:rsidP="00045970">
            <w:pPr>
              <w:numPr>
                <w:ilvl w:val="0"/>
                <w:numId w:val="5"/>
              </w:numPr>
              <w:spacing w:before="120" w:after="0" w:line="240" w:lineRule="auto"/>
              <w:rPr>
                <w:rFonts w:ascii="Calibri" w:hAnsi="Calibri" w:cs="Calibri"/>
                <w:sz w:val="20"/>
              </w:rPr>
            </w:pPr>
            <w:r>
              <w:rPr>
                <w:rFonts w:ascii="Calibri" w:hAnsi="Calibri" w:cs="Calibri"/>
                <w:sz w:val="20"/>
              </w:rPr>
              <w:t>All employees are required to comply with WHS statutory obligations.</w:t>
            </w:r>
          </w:p>
          <w:p w:rsidR="00045970" w:rsidRPr="00F07A61" w:rsidRDefault="00045970" w:rsidP="00544DDE">
            <w:pPr>
              <w:numPr>
                <w:ilvl w:val="0"/>
                <w:numId w:val="5"/>
              </w:numPr>
              <w:spacing w:before="120" w:after="0" w:line="240" w:lineRule="auto"/>
              <w:rPr>
                <w:rFonts w:ascii="Calibri" w:hAnsi="Calibri" w:cs="Calibri"/>
                <w:smallCaps/>
              </w:rPr>
            </w:pPr>
            <w:r w:rsidRPr="00046261">
              <w:rPr>
                <w:rFonts w:ascii="Calibri" w:hAnsi="Calibri" w:cs="Calibri"/>
                <w:sz w:val="20"/>
              </w:rPr>
              <w:t>GRV is an EEO employer.</w:t>
            </w:r>
          </w:p>
        </w:tc>
      </w:tr>
    </w:tbl>
    <w:p w:rsidR="009266B6" w:rsidRDefault="009266B6" w:rsidP="00045970">
      <w:pPr>
        <w:spacing w:after="0" w:line="240" w:lineRule="auto"/>
      </w:pPr>
    </w:p>
    <w:p w:rsidR="00045970" w:rsidRDefault="00045970" w:rsidP="00045970">
      <w:pPr>
        <w:spacing w:after="0" w:line="240" w:lineRule="auto"/>
      </w:pPr>
    </w:p>
    <w:p w:rsidR="00045970" w:rsidRDefault="00045970" w:rsidP="00045970">
      <w:pPr>
        <w:spacing w:after="0" w:line="240" w:lineRule="auto"/>
      </w:pPr>
    </w:p>
    <w:p w:rsidR="00045970" w:rsidRDefault="00045970" w:rsidP="00045970">
      <w:pPr>
        <w:spacing w:after="0" w:line="240" w:lineRule="auto"/>
      </w:pPr>
      <w:r>
        <w:t>NAME: ____________________________________________________________DATE:___/___/___</w:t>
      </w:r>
    </w:p>
    <w:p w:rsidR="00045970" w:rsidRDefault="00045970" w:rsidP="00045970">
      <w:pPr>
        <w:spacing w:after="0" w:line="240" w:lineRule="auto"/>
      </w:pPr>
    </w:p>
    <w:p w:rsidR="00045970" w:rsidRDefault="00045970" w:rsidP="00045970">
      <w:pPr>
        <w:spacing w:after="0" w:line="240" w:lineRule="auto"/>
      </w:pPr>
    </w:p>
    <w:p w:rsidR="00045970" w:rsidRDefault="00045970" w:rsidP="00045970">
      <w:pPr>
        <w:spacing w:after="0" w:line="240" w:lineRule="auto"/>
      </w:pPr>
      <w:r>
        <w:t>SIGNATURE: ________________________________________________________</w:t>
      </w:r>
    </w:p>
    <w:sectPr w:rsidR="00045970" w:rsidSect="00B601F3">
      <w:pgSz w:w="11906" w:h="16838"/>
      <w:pgMar w:top="709"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73E4"/>
    <w:multiLevelType w:val="hybridMultilevel"/>
    <w:tmpl w:val="E3549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8909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645B50"/>
    <w:multiLevelType w:val="hybridMultilevel"/>
    <w:tmpl w:val="065A09AA"/>
    <w:lvl w:ilvl="0" w:tplc="321489E0">
      <w:start w:val="1"/>
      <w:numFmt w:val="bullet"/>
      <w:lvlText w:val=""/>
      <w:lvlJc w:val="left"/>
      <w:pPr>
        <w:ind w:left="1080" w:hanging="360"/>
      </w:pPr>
      <w:rPr>
        <w:rFonts w:ascii="Symbol" w:hAnsi="Symbol"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1DD1685"/>
    <w:multiLevelType w:val="hybridMultilevel"/>
    <w:tmpl w:val="27EA9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44A457F"/>
    <w:multiLevelType w:val="hybridMultilevel"/>
    <w:tmpl w:val="AE50E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E10540"/>
    <w:multiLevelType w:val="hybridMultilevel"/>
    <w:tmpl w:val="25687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D994F11"/>
    <w:multiLevelType w:val="hybridMultilevel"/>
    <w:tmpl w:val="E9B0B1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2D46E3F"/>
    <w:multiLevelType w:val="hybridMultilevel"/>
    <w:tmpl w:val="FF725D6C"/>
    <w:lvl w:ilvl="0" w:tplc="66068108">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51432C6F"/>
    <w:multiLevelType w:val="hybridMultilevel"/>
    <w:tmpl w:val="1F3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CE0A10"/>
    <w:multiLevelType w:val="hybridMultilevel"/>
    <w:tmpl w:val="5E9AB8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F772E6C"/>
    <w:multiLevelType w:val="multilevel"/>
    <w:tmpl w:val="38DCCE06"/>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hint="default"/>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hint="default"/>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11">
    <w:nsid w:val="662B3B0E"/>
    <w:multiLevelType w:val="hybridMultilevel"/>
    <w:tmpl w:val="5B9CD9D8"/>
    <w:lvl w:ilvl="0" w:tplc="C702543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C7B6F74"/>
    <w:multiLevelType w:val="hybridMultilevel"/>
    <w:tmpl w:val="2438FC7E"/>
    <w:lvl w:ilvl="0" w:tplc="C702543C">
      <w:start w:val="1"/>
      <w:numFmt w:val="bullet"/>
      <w:lvlText w:val=""/>
      <w:lvlJc w:val="left"/>
      <w:pPr>
        <w:ind w:left="1080" w:hanging="360"/>
      </w:pPr>
      <w:rPr>
        <w:rFonts w:ascii="Symbol" w:hAnsi="Symbol"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75F16019"/>
    <w:multiLevelType w:val="hybridMultilevel"/>
    <w:tmpl w:val="AFAE56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7E991910"/>
    <w:multiLevelType w:val="hybridMultilevel"/>
    <w:tmpl w:val="3BD01E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10"/>
  </w:num>
  <w:num w:numId="5">
    <w:abstractNumId w:val="4"/>
  </w:num>
  <w:num w:numId="6">
    <w:abstractNumId w:val="8"/>
  </w:num>
  <w:num w:numId="7">
    <w:abstractNumId w:val="0"/>
  </w:num>
  <w:num w:numId="8">
    <w:abstractNumId w:val="11"/>
  </w:num>
  <w:num w:numId="9">
    <w:abstractNumId w:val="1"/>
  </w:num>
  <w:num w:numId="10">
    <w:abstractNumId w:val="6"/>
  </w:num>
  <w:num w:numId="11">
    <w:abstractNumId w:val="14"/>
  </w:num>
  <w:num w:numId="12">
    <w:abstractNumId w:val="9"/>
  </w:num>
  <w:num w:numId="13">
    <w:abstractNumId w:val="13"/>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601F3"/>
    <w:rsid w:val="00000F44"/>
    <w:rsid w:val="00045970"/>
    <w:rsid w:val="0007732A"/>
    <w:rsid w:val="00103E48"/>
    <w:rsid w:val="00131A14"/>
    <w:rsid w:val="001C06BC"/>
    <w:rsid w:val="00320823"/>
    <w:rsid w:val="00352077"/>
    <w:rsid w:val="00396B90"/>
    <w:rsid w:val="003E62F1"/>
    <w:rsid w:val="00472657"/>
    <w:rsid w:val="004B5B82"/>
    <w:rsid w:val="00544DDE"/>
    <w:rsid w:val="005F287C"/>
    <w:rsid w:val="007E2070"/>
    <w:rsid w:val="00800B6C"/>
    <w:rsid w:val="00867E6E"/>
    <w:rsid w:val="008E2A5A"/>
    <w:rsid w:val="009266B6"/>
    <w:rsid w:val="009E06FE"/>
    <w:rsid w:val="00AE34A4"/>
    <w:rsid w:val="00B07555"/>
    <w:rsid w:val="00B37DB6"/>
    <w:rsid w:val="00B601F3"/>
    <w:rsid w:val="00CA7489"/>
    <w:rsid w:val="00CC317A"/>
    <w:rsid w:val="00EA7E9B"/>
    <w:rsid w:val="00EB0504"/>
    <w:rsid w:val="00F20A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B6"/>
  </w:style>
  <w:style w:type="paragraph" w:styleId="Heading1">
    <w:name w:val="heading 1"/>
    <w:basedOn w:val="Normal"/>
    <w:next w:val="Normal"/>
    <w:link w:val="Heading1Char"/>
    <w:qFormat/>
    <w:rsid w:val="00B601F3"/>
    <w:pPr>
      <w:keepNext/>
      <w:framePr w:w="9121" w:h="901" w:hSpace="180" w:wrap="around" w:vAnchor="text" w:hAnchor="page" w:x="1861" w:y="361"/>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F3"/>
    <w:rPr>
      <w:rFonts w:ascii="Tahoma" w:hAnsi="Tahoma" w:cs="Tahoma"/>
      <w:sz w:val="16"/>
      <w:szCs w:val="16"/>
    </w:rPr>
  </w:style>
  <w:style w:type="character" w:customStyle="1" w:styleId="Heading1Char">
    <w:name w:val="Heading 1 Char"/>
    <w:basedOn w:val="DefaultParagraphFont"/>
    <w:link w:val="Heading1"/>
    <w:rsid w:val="00B601F3"/>
    <w:rPr>
      <w:rFonts w:ascii="Arial" w:eastAsia="Times New Roman" w:hAnsi="Arial" w:cs="Arial"/>
      <w:b/>
      <w:bCs/>
      <w:sz w:val="24"/>
      <w:szCs w:val="24"/>
    </w:rPr>
  </w:style>
  <w:style w:type="paragraph" w:styleId="ListParagraph">
    <w:name w:val="List Paragraph"/>
    <w:basedOn w:val="Normal"/>
    <w:uiPriority w:val="34"/>
    <w:qFormat/>
    <w:rsid w:val="00B601F3"/>
    <w:pPr>
      <w:spacing w:after="0" w:line="240" w:lineRule="auto"/>
      <w:ind w:left="720"/>
      <w:contextualSpacing/>
    </w:pPr>
    <w:rPr>
      <w:rFonts w:ascii="Century Gothic" w:eastAsia="Times New Roman" w:hAnsi="Century Gothic" w:cs="Times New Roman"/>
      <w:sz w:val="24"/>
      <w:szCs w:val="24"/>
    </w:rPr>
  </w:style>
  <w:style w:type="paragraph" w:styleId="CommentText">
    <w:name w:val="annotation text"/>
    <w:basedOn w:val="Normal"/>
    <w:link w:val="CommentTextChar"/>
    <w:semiHidden/>
    <w:rsid w:val="00045970"/>
    <w:pPr>
      <w:spacing w:after="0" w:line="240" w:lineRule="auto"/>
    </w:pPr>
    <w:rPr>
      <w:rFonts w:ascii="Century Gothic" w:eastAsia="Times New Roman" w:hAnsi="Century Gothic" w:cs="Times New Roman"/>
      <w:sz w:val="20"/>
      <w:szCs w:val="20"/>
    </w:rPr>
  </w:style>
  <w:style w:type="character" w:customStyle="1" w:styleId="CommentTextChar">
    <w:name w:val="Comment Text Char"/>
    <w:basedOn w:val="DefaultParagraphFont"/>
    <w:link w:val="CommentText"/>
    <w:semiHidden/>
    <w:rsid w:val="00045970"/>
    <w:rPr>
      <w:rFonts w:ascii="Century Gothic" w:eastAsia="Times New Roman" w:hAnsi="Century Gothic" w:cs="Times New Roman"/>
      <w:sz w:val="20"/>
      <w:szCs w:val="20"/>
    </w:rPr>
  </w:style>
  <w:style w:type="paragraph" w:customStyle="1" w:styleId="TableBullet1">
    <w:name w:val="Table Bullet 1"/>
    <w:basedOn w:val="Normal"/>
    <w:rsid w:val="00045970"/>
    <w:pPr>
      <w:numPr>
        <w:ilvl w:val="4"/>
        <w:numId w:val="4"/>
      </w:numPr>
      <w:spacing w:before="40" w:after="40" w:line="240" w:lineRule="auto"/>
      <w:outlineLvl w:val="4"/>
    </w:pPr>
    <w:rPr>
      <w:rFonts w:ascii="Arial" w:eastAsia="Times New Roman" w:hAnsi="Arial" w:cs="Arial"/>
      <w:sz w:val="20"/>
      <w:szCs w:val="20"/>
    </w:rPr>
  </w:style>
  <w:style w:type="paragraph" w:customStyle="1" w:styleId="TableBullet2">
    <w:name w:val="Table Bullet 2"/>
    <w:basedOn w:val="Normal"/>
    <w:rsid w:val="00045970"/>
    <w:pPr>
      <w:numPr>
        <w:ilvl w:val="5"/>
        <w:numId w:val="4"/>
      </w:numPr>
      <w:spacing w:before="40" w:after="40" w:line="240" w:lineRule="auto"/>
      <w:outlineLvl w:val="5"/>
    </w:pPr>
    <w:rPr>
      <w:rFonts w:ascii="Arial" w:eastAsia="Times New Roman" w:hAnsi="Arial" w:cs="Arial"/>
      <w:sz w:val="20"/>
      <w:szCs w:val="20"/>
    </w:rPr>
  </w:style>
  <w:style w:type="paragraph" w:customStyle="1" w:styleId="TableBullet3">
    <w:name w:val="Table Bullet 3"/>
    <w:basedOn w:val="Normal"/>
    <w:rsid w:val="00045970"/>
    <w:pPr>
      <w:numPr>
        <w:ilvl w:val="6"/>
        <w:numId w:val="4"/>
      </w:numPr>
      <w:spacing w:before="40" w:after="40" w:line="240" w:lineRule="auto"/>
      <w:outlineLvl w:val="6"/>
    </w:pPr>
    <w:rPr>
      <w:rFonts w:ascii="Arial" w:eastAsia="Times New Roman" w:hAnsi="Arial" w:cs="Arial"/>
      <w:sz w:val="20"/>
      <w:szCs w:val="20"/>
    </w:rPr>
  </w:style>
  <w:style w:type="paragraph" w:customStyle="1" w:styleId="TableBullet4">
    <w:name w:val="Table Bullet 4"/>
    <w:basedOn w:val="Normal"/>
    <w:rsid w:val="00045970"/>
    <w:pPr>
      <w:numPr>
        <w:ilvl w:val="7"/>
        <w:numId w:val="4"/>
      </w:numPr>
      <w:spacing w:before="40" w:after="40" w:line="240" w:lineRule="auto"/>
      <w:outlineLvl w:val="7"/>
    </w:pPr>
    <w:rPr>
      <w:rFonts w:ascii="Arial" w:eastAsia="Times New Roman" w:hAnsi="Arial" w:cs="Arial"/>
      <w:sz w:val="20"/>
      <w:szCs w:val="20"/>
    </w:rPr>
  </w:style>
  <w:style w:type="paragraph" w:styleId="BodyText2">
    <w:name w:val="Body Text 2"/>
    <w:basedOn w:val="Normal"/>
    <w:link w:val="BodyText2Char"/>
    <w:rsid w:val="00CA7489"/>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CA7489"/>
    <w:rPr>
      <w:rFonts w:ascii="Arial" w:eastAsia="Times New Roman" w:hAnsi="Arial" w:cs="Arial"/>
      <w:sz w:val="20"/>
      <w:szCs w:val="24"/>
    </w:rPr>
  </w:style>
</w:styles>
</file>

<file path=word/webSettings.xml><?xml version="1.0" encoding="utf-8"?>
<w:webSettings xmlns:r="http://schemas.openxmlformats.org/officeDocument/2006/relationships" xmlns:w="http://schemas.openxmlformats.org/wordprocessingml/2006/main">
  <w:divs>
    <w:div w:id="623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Greyhound Racing Victoria</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dbarton</dc:creator>
  <cp:lastModifiedBy>akhurana</cp:lastModifiedBy>
  <cp:revision>2</cp:revision>
  <dcterms:created xsi:type="dcterms:W3CDTF">2016-07-21T05:02:00Z</dcterms:created>
  <dcterms:modified xsi:type="dcterms:W3CDTF">2016-07-21T05:02:00Z</dcterms:modified>
</cp:coreProperties>
</file>